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7A36" w:rsidR="00481096" w:rsidP="00481096" w:rsidRDefault="00481096" w14:paraId="1CBB9289" w14:textId="4B9A5882">
      <w:pPr>
        <w:pStyle w:val="Texto"/>
        <w:spacing w:before="0" w:after="0" w:line="240" w:lineRule="auto"/>
        <w:jc w:val="center"/>
        <w:rPr>
          <w:b/>
          <w:szCs w:val="22"/>
        </w:rPr>
      </w:pPr>
      <w:r w:rsidRPr="00C27A36">
        <w:rPr>
          <w:b/>
          <w:szCs w:val="22"/>
        </w:rPr>
        <w:t>CIRCULAR EXTERNA</w:t>
      </w:r>
    </w:p>
    <w:p w:rsidRPr="00C27A36" w:rsidR="006972C9" w:rsidP="00481096" w:rsidRDefault="008F364F" w14:paraId="480319FB" w14:textId="1B3051F2">
      <w:pPr>
        <w:pStyle w:val="Texto"/>
        <w:spacing w:before="0" w:after="0" w:line="240" w:lineRule="auto"/>
        <w:jc w:val="center"/>
        <w:rPr>
          <w:szCs w:val="22"/>
        </w:rPr>
      </w:pPr>
      <w:r w:rsidRPr="00C27A36">
        <w:rPr>
          <w:szCs w:val="22"/>
        </w:rPr>
        <w:t>2</w:t>
      </w:r>
      <w:r w:rsidR="00AC2D90">
        <w:rPr>
          <w:szCs w:val="22"/>
        </w:rPr>
        <w:t>2</w:t>
      </w:r>
      <w:bookmarkStart w:name="_GoBack" w:id="0"/>
      <w:bookmarkEnd w:id="0"/>
      <w:r w:rsidRPr="00C27A36" w:rsidR="006972C9">
        <w:rPr>
          <w:szCs w:val="22"/>
        </w:rPr>
        <w:t xml:space="preserve"> de</w:t>
      </w:r>
      <w:r w:rsidRPr="00C27A36" w:rsidR="00481096">
        <w:rPr>
          <w:szCs w:val="22"/>
        </w:rPr>
        <w:t xml:space="preserve"> junio</w:t>
      </w:r>
      <w:r w:rsidRPr="00C27A36" w:rsidR="006972C9">
        <w:rPr>
          <w:szCs w:val="22"/>
        </w:rPr>
        <w:t xml:space="preserve"> </w:t>
      </w:r>
      <w:r w:rsidRPr="00C27A36" w:rsidR="00481096">
        <w:rPr>
          <w:szCs w:val="22"/>
        </w:rPr>
        <w:t>de 2021</w:t>
      </w:r>
    </w:p>
    <w:sdt>
      <w:sdtPr>
        <w:rPr>
          <w:szCs w:val="22"/>
        </w:rPr>
        <w:alias w:val="Consecutivo"/>
        <w:tag w:val="Consecutivo"/>
        <w:id w:val="2052717023"/>
        <w:placeholder>
          <w:docPart w:val="55DEBB3C2F424C8D92279D6AD19AEB5E"/>
        </w:placeholder>
        <w:text/>
      </w:sdtPr>
      <w:sdtEndPr/>
      <w:sdtContent>
        <w:p w:rsidRPr="00C27A36" w:rsidR="006972C9" w:rsidP="00481096" w:rsidRDefault="006972C9" w14:paraId="3A088BB9" w14:textId="77777777">
          <w:pPr>
            <w:tabs>
              <w:tab w:val="left" w:pos="2843"/>
            </w:tabs>
            <w:spacing w:line="240" w:lineRule="auto"/>
            <w:jc w:val="center"/>
            <w:rPr>
              <w:szCs w:val="22"/>
            </w:rPr>
          </w:pPr>
          <w:r>
            <w:t>SGF-1708-2021</w:t>
          </w:r>
        </w:p>
      </w:sdtContent>
    </w:sdt>
    <w:p w:rsidRPr="00C27A36" w:rsidR="006972C9" w:rsidP="00481096" w:rsidRDefault="00AC2D90" w14:paraId="74E5145E" w14:textId="5A176062">
      <w:pPr>
        <w:tabs>
          <w:tab w:val="left" w:pos="2843"/>
        </w:tabs>
        <w:spacing w:line="240" w:lineRule="auto"/>
        <w:jc w:val="center"/>
        <w:rPr>
          <w:szCs w:val="22"/>
        </w:rPr>
      </w:pPr>
      <w:sdt>
        <w:sdtPr>
          <w:rPr>
            <w:szCs w:val="22"/>
          </w:rPr>
          <w:alias w:val="Confidencialidad"/>
          <w:tag w:val="Confidencialidad"/>
          <w:id w:val="1447896894"/>
          <w:placeholder>
            <w:docPart w:val="F10829CC98CE4F92AB1EE0E1ABD58D2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27A36" w:rsidR="00481096">
            <w:rPr>
              <w:szCs w:val="22"/>
            </w:rPr>
            <w:t>SGF-PUBLICO</w:t>
          </w:r>
        </w:sdtContent>
      </w:sdt>
    </w:p>
    <w:p w:rsidRPr="00C27A36" w:rsidR="006972C9" w:rsidP="006972C9" w:rsidRDefault="006972C9" w14:paraId="134B4406" w14:textId="77777777">
      <w:pPr>
        <w:tabs>
          <w:tab w:val="left" w:pos="2843"/>
        </w:tabs>
        <w:spacing w:line="240" w:lineRule="auto"/>
        <w:rPr>
          <w:szCs w:val="22"/>
        </w:rPr>
      </w:pPr>
      <w:r w:rsidRPr="00C27A36">
        <w:rPr>
          <w:szCs w:val="22"/>
        </w:rPr>
        <w:tab/>
      </w:r>
    </w:p>
    <w:p w:rsidRPr="00C27A36" w:rsidR="00481096" w:rsidP="00481096" w:rsidRDefault="00481096" w14:paraId="0EC0F746" w14:textId="77777777">
      <w:pPr>
        <w:spacing w:line="240" w:lineRule="auto"/>
        <w:jc w:val="left"/>
        <w:rPr>
          <w:rFonts w:eastAsia="Calibri"/>
          <w:b/>
          <w:szCs w:val="22"/>
          <w:lang w:val="es-CR"/>
        </w:rPr>
      </w:pPr>
      <w:r w:rsidRPr="00C27A36">
        <w:rPr>
          <w:rFonts w:eastAsia="Calibri"/>
          <w:b/>
          <w:szCs w:val="22"/>
          <w:lang w:val="es-CR"/>
        </w:rPr>
        <w:t xml:space="preserve">Dirigida a: </w:t>
      </w:r>
    </w:p>
    <w:p w:rsidRPr="00C27A36" w:rsidR="00481096" w:rsidP="00481096" w:rsidRDefault="00481096" w14:paraId="1BDAF8CC" w14:textId="77777777">
      <w:pPr>
        <w:spacing w:line="240" w:lineRule="auto"/>
        <w:jc w:val="left"/>
        <w:rPr>
          <w:rFonts w:eastAsia="Calibri"/>
          <w:b/>
          <w:szCs w:val="22"/>
          <w:lang w:val="es-CR"/>
        </w:rPr>
      </w:pPr>
    </w:p>
    <w:p w:rsidRPr="00C27A36" w:rsidR="00481096" w:rsidP="00481096" w:rsidRDefault="00481096" w14:paraId="3A875EB6" w14:textId="77777777">
      <w:pPr>
        <w:numPr>
          <w:ilvl w:val="0"/>
          <w:numId w:val="3"/>
        </w:numPr>
        <w:spacing w:after="160" w:line="240" w:lineRule="auto"/>
        <w:jc w:val="left"/>
        <w:rPr>
          <w:rFonts w:eastAsia="Calibri"/>
          <w:b/>
          <w:szCs w:val="22"/>
          <w:lang w:val="es-CR"/>
        </w:rPr>
      </w:pPr>
      <w:r w:rsidRPr="00C27A36">
        <w:rPr>
          <w:rFonts w:eastAsia="Calibri"/>
          <w:b/>
          <w:szCs w:val="22"/>
          <w:lang w:val="es-CR"/>
        </w:rPr>
        <w:t>Bancos Comerciales del Estado</w:t>
      </w:r>
    </w:p>
    <w:p w:rsidRPr="00C27A36" w:rsidR="00481096" w:rsidP="00481096" w:rsidRDefault="00481096" w14:paraId="76493339" w14:textId="77777777">
      <w:pPr>
        <w:numPr>
          <w:ilvl w:val="0"/>
          <w:numId w:val="3"/>
        </w:numPr>
        <w:spacing w:after="160" w:line="240" w:lineRule="auto"/>
        <w:jc w:val="left"/>
        <w:rPr>
          <w:rFonts w:eastAsia="Calibri"/>
          <w:b/>
          <w:szCs w:val="22"/>
          <w:lang w:val="es-CR"/>
        </w:rPr>
      </w:pPr>
      <w:r w:rsidRPr="00C27A36">
        <w:rPr>
          <w:rFonts w:eastAsia="Calibri"/>
          <w:b/>
          <w:szCs w:val="22"/>
          <w:lang w:val="es-CR"/>
        </w:rPr>
        <w:t>Banco Popular y de Desarrollo Comunal</w:t>
      </w:r>
    </w:p>
    <w:p w:rsidRPr="00C27A36" w:rsidR="00481096" w:rsidP="00481096" w:rsidRDefault="00481096" w14:paraId="713EFA01" w14:textId="77777777">
      <w:pPr>
        <w:numPr>
          <w:ilvl w:val="0"/>
          <w:numId w:val="3"/>
        </w:numPr>
        <w:spacing w:after="160" w:line="240" w:lineRule="auto"/>
        <w:jc w:val="left"/>
        <w:rPr>
          <w:rFonts w:eastAsia="Calibri"/>
          <w:b/>
          <w:szCs w:val="22"/>
          <w:lang w:val="es-CR"/>
        </w:rPr>
      </w:pPr>
      <w:r w:rsidRPr="00C27A36">
        <w:rPr>
          <w:rFonts w:eastAsia="Calibri"/>
          <w:b/>
          <w:szCs w:val="22"/>
          <w:lang w:val="es-CR"/>
        </w:rPr>
        <w:t>Bancos Privados</w:t>
      </w:r>
    </w:p>
    <w:p w:rsidRPr="00C27A36" w:rsidR="00481096" w:rsidP="00481096" w:rsidRDefault="00481096" w14:paraId="1809F293" w14:textId="77777777">
      <w:pPr>
        <w:numPr>
          <w:ilvl w:val="0"/>
          <w:numId w:val="3"/>
        </w:numPr>
        <w:spacing w:after="160" w:line="240" w:lineRule="auto"/>
        <w:jc w:val="left"/>
        <w:rPr>
          <w:rFonts w:eastAsia="Calibri"/>
          <w:b/>
          <w:szCs w:val="22"/>
          <w:lang w:val="es-CR"/>
        </w:rPr>
      </w:pPr>
      <w:r w:rsidRPr="00C27A36">
        <w:rPr>
          <w:rFonts w:eastAsia="Calibri"/>
          <w:b/>
          <w:szCs w:val="22"/>
          <w:lang w:val="es-CR"/>
        </w:rPr>
        <w:t>Empresas Financieras no Bancarias</w:t>
      </w:r>
    </w:p>
    <w:p w:rsidRPr="00C27A36" w:rsidR="00481096" w:rsidP="00481096" w:rsidRDefault="00481096" w14:paraId="50ABAEC5" w14:textId="77777777">
      <w:pPr>
        <w:numPr>
          <w:ilvl w:val="0"/>
          <w:numId w:val="3"/>
        </w:numPr>
        <w:spacing w:after="160" w:line="240" w:lineRule="auto"/>
        <w:jc w:val="left"/>
        <w:rPr>
          <w:rFonts w:eastAsia="Calibri"/>
          <w:b/>
          <w:szCs w:val="22"/>
          <w:lang w:val="es-CR"/>
        </w:rPr>
      </w:pPr>
      <w:r w:rsidRPr="00C27A36">
        <w:rPr>
          <w:rFonts w:eastAsia="Calibri"/>
          <w:b/>
          <w:szCs w:val="22"/>
          <w:lang w:val="es-CR"/>
        </w:rPr>
        <w:t>Caja de Ande</w:t>
      </w:r>
    </w:p>
    <w:p w:rsidRPr="00C27A36" w:rsidR="00481096" w:rsidP="00481096" w:rsidRDefault="00481096" w14:paraId="655C8C56" w14:textId="77777777">
      <w:pPr>
        <w:numPr>
          <w:ilvl w:val="0"/>
          <w:numId w:val="3"/>
        </w:numPr>
        <w:spacing w:after="160" w:line="240" w:lineRule="auto"/>
        <w:jc w:val="left"/>
        <w:rPr>
          <w:rFonts w:eastAsia="Calibri"/>
          <w:b/>
          <w:szCs w:val="22"/>
          <w:lang w:val="es-CR"/>
        </w:rPr>
      </w:pPr>
      <w:r w:rsidRPr="00C27A36">
        <w:rPr>
          <w:rFonts w:eastAsia="Calibri"/>
          <w:b/>
          <w:szCs w:val="22"/>
          <w:lang w:val="es-CR"/>
        </w:rPr>
        <w:t>Organizaciones Cooperativas de Ahorro y Crédito</w:t>
      </w:r>
    </w:p>
    <w:p w:rsidRPr="00C27A36" w:rsidR="00481096" w:rsidP="00481096" w:rsidRDefault="00481096" w14:paraId="2A80B81A" w14:textId="77777777">
      <w:pPr>
        <w:spacing w:line="240" w:lineRule="auto"/>
        <w:jc w:val="left"/>
        <w:rPr>
          <w:rFonts w:eastAsia="Calibri"/>
          <w:szCs w:val="22"/>
          <w:lang w:val="es-CR"/>
        </w:rPr>
      </w:pPr>
    </w:p>
    <w:p w:rsidRPr="00C27A36" w:rsidR="00481096" w:rsidP="00481096" w:rsidRDefault="00481096" w14:paraId="272396C3" w14:textId="50C510D1">
      <w:pPr>
        <w:spacing w:line="240" w:lineRule="auto"/>
        <w:rPr>
          <w:rFonts w:eastAsia="Calibri"/>
          <w:i/>
          <w:iCs/>
          <w:szCs w:val="22"/>
          <w:lang w:val="es-CR"/>
        </w:rPr>
      </w:pPr>
      <w:r w:rsidRPr="00C27A36">
        <w:rPr>
          <w:rFonts w:eastAsia="Calibri"/>
          <w:b/>
          <w:szCs w:val="22"/>
          <w:lang w:val="es-CR"/>
        </w:rPr>
        <w:t>Asunto:</w:t>
      </w:r>
      <w:r w:rsidRPr="00C27A36">
        <w:rPr>
          <w:rFonts w:eastAsia="Calibri"/>
          <w:szCs w:val="22"/>
          <w:lang w:val="es-CR"/>
        </w:rPr>
        <w:t xml:space="preserve"> Directrices para el cumplimiento del artículo 16 </w:t>
      </w:r>
      <w:r w:rsidRPr="00C27A36">
        <w:rPr>
          <w:rFonts w:eastAsia="Calibri"/>
          <w:i/>
          <w:iCs/>
          <w:szCs w:val="22"/>
          <w:lang w:val="es-CR"/>
        </w:rPr>
        <w:t xml:space="preserve">“Uso contingente de los recursos del encaje mínimo legal y de la reserva de liquidez para financiar el Fondo de Garantías de Depósitos” </w:t>
      </w:r>
      <w:r w:rsidRPr="00C27A36">
        <w:rPr>
          <w:rFonts w:eastAsia="Calibri"/>
          <w:szCs w:val="22"/>
          <w:lang w:val="es-CR"/>
        </w:rPr>
        <w:t>de la Ley N °9816 por parte de las entidades contribuyentes.</w:t>
      </w:r>
    </w:p>
    <w:p w:rsidRPr="00C27A36" w:rsidR="00481096" w:rsidP="00481096" w:rsidRDefault="00481096" w14:paraId="1B5B7E19" w14:textId="77777777">
      <w:pPr>
        <w:spacing w:line="240" w:lineRule="auto"/>
        <w:jc w:val="left"/>
        <w:rPr>
          <w:rFonts w:eastAsia="Calibri"/>
          <w:szCs w:val="22"/>
          <w:lang w:val="es-CR"/>
        </w:rPr>
      </w:pPr>
    </w:p>
    <w:p w:rsidRPr="00C27A36" w:rsidR="00481096" w:rsidP="00481096" w:rsidRDefault="00481096" w14:paraId="200154F5" w14:textId="77777777">
      <w:pPr>
        <w:spacing w:line="240" w:lineRule="auto"/>
        <w:jc w:val="left"/>
        <w:rPr>
          <w:rFonts w:eastAsia="Calibri"/>
          <w:szCs w:val="22"/>
          <w:lang w:val="es-CR"/>
        </w:rPr>
      </w:pPr>
      <w:r w:rsidRPr="00C27A36">
        <w:rPr>
          <w:rFonts w:eastAsia="Calibri"/>
          <w:szCs w:val="22"/>
          <w:lang w:val="es-CR"/>
        </w:rPr>
        <w:t>La Superintendente General de Entidades Financieras:</w:t>
      </w:r>
    </w:p>
    <w:p w:rsidRPr="00C27A36" w:rsidR="00481096" w:rsidP="00481096" w:rsidRDefault="00481096" w14:paraId="6E25069B" w14:textId="77777777">
      <w:pPr>
        <w:spacing w:line="240" w:lineRule="auto"/>
        <w:jc w:val="left"/>
        <w:rPr>
          <w:rFonts w:eastAsia="Calibri"/>
          <w:b/>
          <w:bCs/>
          <w:szCs w:val="22"/>
          <w:lang w:val="es-CR"/>
        </w:rPr>
      </w:pPr>
    </w:p>
    <w:p w:rsidRPr="00C27A36" w:rsidR="00481096" w:rsidP="00481096" w:rsidRDefault="00481096" w14:paraId="1D7B4CB7" w14:textId="77777777">
      <w:pPr>
        <w:spacing w:line="240" w:lineRule="auto"/>
        <w:jc w:val="left"/>
        <w:rPr>
          <w:rFonts w:eastAsia="Calibri"/>
          <w:b/>
          <w:bCs/>
          <w:szCs w:val="22"/>
          <w:lang w:val="es-CR"/>
        </w:rPr>
      </w:pPr>
      <w:r w:rsidRPr="00C27A36">
        <w:rPr>
          <w:rFonts w:eastAsia="Calibri"/>
          <w:b/>
          <w:bCs/>
          <w:szCs w:val="22"/>
          <w:lang w:val="es-CR"/>
        </w:rPr>
        <w:t>Considerando que:</w:t>
      </w:r>
    </w:p>
    <w:p w:rsidRPr="00C27A36" w:rsidR="00481096" w:rsidP="00481096" w:rsidRDefault="00481096" w14:paraId="1E3ACB3E" w14:textId="77777777">
      <w:pPr>
        <w:autoSpaceDE w:val="0"/>
        <w:autoSpaceDN w:val="0"/>
        <w:adjustRightInd w:val="0"/>
        <w:spacing w:line="240" w:lineRule="auto"/>
        <w:rPr>
          <w:rFonts w:eastAsia="Calibri"/>
          <w:szCs w:val="22"/>
          <w:lang w:val="es-CR"/>
        </w:rPr>
      </w:pPr>
    </w:p>
    <w:p w:rsidRPr="00C27A36" w:rsidR="00743C20" w:rsidP="00743C20" w:rsidRDefault="00912F10" w14:paraId="05DBB7BA" w14:textId="6A61F295">
      <w:pPr>
        <w:numPr>
          <w:ilvl w:val="0"/>
          <w:numId w:val="5"/>
        </w:numPr>
        <w:autoSpaceDE w:val="0"/>
        <w:autoSpaceDN w:val="0"/>
        <w:adjustRightInd w:val="0"/>
        <w:spacing w:after="160" w:line="240" w:lineRule="auto"/>
        <w:contextualSpacing/>
        <w:rPr>
          <w:rFonts w:eastAsia="Calibri"/>
          <w:szCs w:val="22"/>
          <w:lang w:val="es-CR"/>
        </w:rPr>
      </w:pPr>
      <w:r w:rsidRPr="00C27A36">
        <w:rPr>
          <w:rFonts w:eastAsia="Calibri"/>
          <w:szCs w:val="22"/>
          <w:lang w:val="es-CR"/>
        </w:rPr>
        <w:t xml:space="preserve">El transitorio II de la </w:t>
      </w:r>
      <w:r w:rsidRPr="00C27A36">
        <w:rPr>
          <w:rFonts w:eastAsia="Calibri"/>
          <w:i/>
          <w:iCs/>
          <w:szCs w:val="22"/>
          <w:lang w:val="es-CR"/>
        </w:rPr>
        <w:t>Ley de creación del Fondo de Garantía de Depósitos y de mecanismos de resolución de los intermediarios financieros”</w:t>
      </w:r>
      <w:r w:rsidRPr="00C27A36">
        <w:rPr>
          <w:rFonts w:eastAsia="Calibri"/>
          <w:szCs w:val="22"/>
          <w:lang w:val="es-CR"/>
        </w:rPr>
        <w:t xml:space="preserve">, Ley N° 9816 publicada en febrero del 2020, determinó que </w:t>
      </w:r>
      <w:r w:rsidRPr="00C27A36">
        <w:rPr>
          <w:rFonts w:eastAsia="Calibri"/>
          <w:szCs w:val="22"/>
        </w:rPr>
        <w:t>el Consejo Nacional de Supervisión del Sistema Financiero (Conassif) contaría con un plazo máximo de un año, desde la entrada en vigencia de la presente ley, para emitir su reglamentación.</w:t>
      </w:r>
      <w:r w:rsidRPr="00C27A36" w:rsidR="00743C20">
        <w:rPr>
          <w:rFonts w:eastAsia="Calibri"/>
          <w:szCs w:val="22"/>
        </w:rPr>
        <w:t xml:space="preserve"> </w:t>
      </w:r>
      <w:r w:rsidRPr="00C27A36" w:rsidR="00743C20">
        <w:rPr>
          <w:rFonts w:eastAsia="Calibri"/>
          <w:szCs w:val="22"/>
          <w:lang w:val="es-CR"/>
        </w:rPr>
        <w:t>Esa reglamentación fue aprobada por el Conassif en enero del 2021 y fue divulgada en febrero del 2021.</w:t>
      </w:r>
    </w:p>
    <w:p w:rsidRPr="00C27A36" w:rsidR="00743C20" w:rsidP="00743C20" w:rsidRDefault="00743C20" w14:paraId="55C2A1F0" w14:textId="77777777">
      <w:pPr>
        <w:autoSpaceDE w:val="0"/>
        <w:autoSpaceDN w:val="0"/>
        <w:adjustRightInd w:val="0"/>
        <w:spacing w:after="160" w:line="240" w:lineRule="auto"/>
        <w:ind w:left="1080"/>
        <w:contextualSpacing/>
        <w:rPr>
          <w:rFonts w:eastAsia="Calibri"/>
          <w:szCs w:val="22"/>
          <w:lang w:val="es-CR"/>
        </w:rPr>
      </w:pPr>
    </w:p>
    <w:p w:rsidRPr="00C27A36" w:rsidR="00743C20" w:rsidP="00743C20" w:rsidRDefault="00743C20" w14:paraId="55A0D8D4" w14:textId="0E61ED64">
      <w:pPr>
        <w:numPr>
          <w:ilvl w:val="0"/>
          <w:numId w:val="5"/>
        </w:numPr>
        <w:autoSpaceDE w:val="0"/>
        <w:autoSpaceDN w:val="0"/>
        <w:adjustRightInd w:val="0"/>
        <w:spacing w:after="160" w:line="240" w:lineRule="auto"/>
        <w:contextualSpacing/>
        <w:rPr>
          <w:rFonts w:eastAsia="Calibri"/>
          <w:szCs w:val="22"/>
          <w:lang w:val="es-CR"/>
        </w:rPr>
      </w:pPr>
      <w:r w:rsidRPr="00C27A36">
        <w:rPr>
          <w:color w:val="000000"/>
          <w:szCs w:val="22"/>
        </w:rPr>
        <w:t>El transitorio III de la Ley N° 9816 estableció que las contribuciones al Fondo de Garantía de Depósitos deberán iniciar, y la cobertura surtirá efecto, tres meses después de que el Consejo Nacional de Supervisión del Sistema Financiero (Conassif) emita la reglamentación requerida en esta ley. Ese plazo se cumplió en mayo del 2021 y por tanto, la Ley N° 9816 cobra todos sus efectos a partir de ese mes.</w:t>
      </w:r>
    </w:p>
    <w:p w:rsidRPr="00C27A36" w:rsidR="00912F10" w:rsidP="00912F10" w:rsidRDefault="00912F10" w14:paraId="6DD18E01" w14:textId="77777777">
      <w:pPr>
        <w:autoSpaceDE w:val="0"/>
        <w:autoSpaceDN w:val="0"/>
        <w:adjustRightInd w:val="0"/>
        <w:spacing w:after="160" w:line="240" w:lineRule="auto"/>
        <w:ind w:left="1080"/>
        <w:contextualSpacing/>
        <w:rPr>
          <w:rFonts w:eastAsia="Calibri"/>
          <w:szCs w:val="22"/>
          <w:lang w:val="es-CR"/>
        </w:rPr>
      </w:pPr>
    </w:p>
    <w:p w:rsidRPr="00C27A36" w:rsidR="00090941" w:rsidP="00090941" w:rsidRDefault="00481096" w14:paraId="4214D0F5" w14:textId="026B42CE">
      <w:pPr>
        <w:numPr>
          <w:ilvl w:val="0"/>
          <w:numId w:val="5"/>
        </w:numPr>
        <w:autoSpaceDE w:val="0"/>
        <w:autoSpaceDN w:val="0"/>
        <w:adjustRightInd w:val="0"/>
        <w:spacing w:after="160" w:line="240" w:lineRule="auto"/>
        <w:contextualSpacing/>
        <w:rPr>
          <w:rFonts w:eastAsia="Calibri"/>
          <w:szCs w:val="22"/>
          <w:lang w:val="es-CR"/>
        </w:rPr>
      </w:pPr>
      <w:r w:rsidRPr="00C27A36">
        <w:rPr>
          <w:rFonts w:eastAsia="Calibri"/>
          <w:szCs w:val="22"/>
          <w:lang w:val="es-CR"/>
        </w:rPr>
        <w:t xml:space="preserve">El artículo 16 de la Ley N° 9816 </w:t>
      </w:r>
      <w:r w:rsidRPr="00C27A36" w:rsidR="007134E5">
        <w:rPr>
          <w:rFonts w:eastAsia="Calibri"/>
          <w:szCs w:val="22"/>
          <w:lang w:val="es-CR"/>
        </w:rPr>
        <w:t>estipula</w:t>
      </w:r>
      <w:r w:rsidRPr="00C27A36">
        <w:rPr>
          <w:rFonts w:eastAsia="Calibri"/>
          <w:szCs w:val="22"/>
          <w:lang w:val="es-CR"/>
        </w:rPr>
        <w:t xml:space="preserve"> que una porción equivalente al 2% del total de los pasivos sujetos a encaje o a reserva de liquidez de las entidades contribuyentes, según corresponda,</w:t>
      </w:r>
      <w:r w:rsidRPr="00C27A36" w:rsidR="00D4240F">
        <w:rPr>
          <w:rFonts w:eastAsia="Calibri"/>
          <w:szCs w:val="22"/>
          <w:lang w:val="es-CR"/>
        </w:rPr>
        <w:t xml:space="preserve"> porcentaje que sería</w:t>
      </w:r>
      <w:r w:rsidRPr="00C27A36" w:rsidR="007134E5">
        <w:rPr>
          <w:rFonts w:eastAsia="Calibri"/>
          <w:szCs w:val="22"/>
          <w:lang w:val="es-CR"/>
        </w:rPr>
        <w:t xml:space="preserve"> tomado de</w:t>
      </w:r>
      <w:r w:rsidRPr="00C27A36" w:rsidR="00D4240F">
        <w:rPr>
          <w:rFonts w:eastAsia="Calibri"/>
          <w:szCs w:val="22"/>
          <w:lang w:val="es-CR"/>
        </w:rPr>
        <w:t xml:space="preserve"> los requerimientos establecidos para</w:t>
      </w:r>
      <w:r w:rsidRPr="00C27A36" w:rsidR="007134E5">
        <w:rPr>
          <w:rFonts w:eastAsia="Calibri"/>
          <w:szCs w:val="22"/>
          <w:lang w:val="es-CR"/>
        </w:rPr>
        <w:t xml:space="preserve"> esos regímenes</w:t>
      </w:r>
      <w:r w:rsidRPr="00C27A36" w:rsidR="00B93D4E">
        <w:rPr>
          <w:rFonts w:eastAsia="Calibri"/>
          <w:szCs w:val="22"/>
          <w:lang w:val="es-CR"/>
        </w:rPr>
        <w:t>;</w:t>
      </w:r>
      <w:r w:rsidRPr="00C27A36" w:rsidR="007134E5">
        <w:rPr>
          <w:rFonts w:eastAsia="Calibri"/>
          <w:szCs w:val="22"/>
          <w:lang w:val="es-CR"/>
        </w:rPr>
        <w:t xml:space="preserve"> </w:t>
      </w:r>
      <w:r w:rsidRPr="00C27A36" w:rsidR="00974D26">
        <w:rPr>
          <w:rFonts w:eastAsia="Calibri"/>
          <w:szCs w:val="22"/>
          <w:lang w:val="es-CR"/>
        </w:rPr>
        <w:t>será considerado</w:t>
      </w:r>
      <w:r w:rsidRPr="00C27A36">
        <w:rPr>
          <w:rFonts w:eastAsia="Calibri"/>
          <w:szCs w:val="22"/>
          <w:lang w:val="es-CR"/>
        </w:rPr>
        <w:t xml:space="preserve"> como garantía para el Fondo de Garantía de Depósitos (FGD) y se utilizarán para cubrir los depósitos garantizados o apoyar el proceso de resolución</w:t>
      </w:r>
      <w:r w:rsidRPr="00C27A36" w:rsidR="007134E5">
        <w:rPr>
          <w:rFonts w:eastAsia="Calibri"/>
          <w:szCs w:val="22"/>
          <w:lang w:val="es-CR"/>
        </w:rPr>
        <w:t>,</w:t>
      </w:r>
      <w:r w:rsidRPr="00C27A36">
        <w:rPr>
          <w:rFonts w:eastAsia="Calibri"/>
          <w:szCs w:val="22"/>
          <w:lang w:val="es-CR"/>
        </w:rPr>
        <w:t xml:space="preserve"> hasta por el monto del faltante, cuando los demás recursos del respectivo compartimento del FGD sean insuficientes para ello.</w:t>
      </w:r>
    </w:p>
    <w:p w:rsidRPr="00C27A36" w:rsidR="00090941" w:rsidP="00090941" w:rsidRDefault="00090941" w14:paraId="48B201EA" w14:textId="77777777">
      <w:pPr>
        <w:autoSpaceDE w:val="0"/>
        <w:autoSpaceDN w:val="0"/>
        <w:adjustRightInd w:val="0"/>
        <w:spacing w:after="160" w:line="240" w:lineRule="auto"/>
        <w:ind w:left="1080"/>
        <w:contextualSpacing/>
        <w:rPr>
          <w:rFonts w:eastAsia="Calibri"/>
          <w:szCs w:val="22"/>
          <w:lang w:val="es-CR"/>
        </w:rPr>
      </w:pPr>
    </w:p>
    <w:p w:rsidRPr="00C27A36" w:rsidR="00090941" w:rsidP="00090941" w:rsidRDefault="00090941" w14:paraId="5A8F655C" w14:textId="66546FCB">
      <w:pPr>
        <w:numPr>
          <w:ilvl w:val="0"/>
          <w:numId w:val="5"/>
        </w:numPr>
        <w:autoSpaceDE w:val="0"/>
        <w:autoSpaceDN w:val="0"/>
        <w:adjustRightInd w:val="0"/>
        <w:spacing w:after="160" w:line="240" w:lineRule="auto"/>
        <w:contextualSpacing/>
        <w:rPr>
          <w:rFonts w:eastAsia="Calibri"/>
          <w:szCs w:val="22"/>
          <w:lang w:val="es-CR"/>
        </w:rPr>
      </w:pPr>
      <w:r w:rsidRPr="00C27A36">
        <w:rPr>
          <w:rFonts w:eastAsia="Calibri"/>
          <w:szCs w:val="22"/>
        </w:rPr>
        <w:t>Esa misma norma legal dispuso que para hacer líquidos los recursos de esa garantía, las entidades sujetas a la reserva de liquidez deberán mantener, en el Fideicomiso de Garantías del Sistema de Pagos del Banco Central, valores y depósitos por una cuantía equivalente al dos por ciento (2%) de los pasivos sujetos a la reserva de liquidez.</w:t>
      </w:r>
    </w:p>
    <w:p w:rsidRPr="00C27A36" w:rsidR="00481096" w:rsidP="00481096" w:rsidRDefault="00481096" w14:paraId="539D62EE" w14:textId="77777777">
      <w:pPr>
        <w:autoSpaceDE w:val="0"/>
        <w:autoSpaceDN w:val="0"/>
        <w:adjustRightInd w:val="0"/>
        <w:spacing w:line="240" w:lineRule="auto"/>
        <w:ind w:left="1080"/>
        <w:contextualSpacing/>
        <w:rPr>
          <w:rFonts w:eastAsia="Calibri"/>
          <w:szCs w:val="22"/>
          <w:lang w:val="es-CR"/>
        </w:rPr>
      </w:pPr>
    </w:p>
    <w:p w:rsidRPr="00C27A36" w:rsidR="00481096" w:rsidP="00481096" w:rsidRDefault="00090941" w14:paraId="57E938C0" w14:textId="31C74086">
      <w:pPr>
        <w:numPr>
          <w:ilvl w:val="0"/>
          <w:numId w:val="5"/>
        </w:numPr>
        <w:autoSpaceDE w:val="0"/>
        <w:autoSpaceDN w:val="0"/>
        <w:adjustRightInd w:val="0"/>
        <w:spacing w:after="160" w:line="240" w:lineRule="auto"/>
        <w:contextualSpacing/>
        <w:rPr>
          <w:rFonts w:eastAsia="Calibri"/>
          <w:szCs w:val="22"/>
          <w:lang w:val="es-CR"/>
        </w:rPr>
      </w:pPr>
      <w:r w:rsidRPr="00C27A36">
        <w:rPr>
          <w:rFonts w:eastAsia="Calibri"/>
          <w:szCs w:val="22"/>
          <w:lang w:val="es-CR"/>
        </w:rPr>
        <w:t xml:space="preserve">También, en dicho artículo </w:t>
      </w:r>
      <w:r w:rsidRPr="00C27A36" w:rsidR="00481096">
        <w:rPr>
          <w:rFonts w:eastAsia="Calibri"/>
          <w:szCs w:val="22"/>
          <w:lang w:val="es-CR"/>
        </w:rPr>
        <w:t>indicado supra,</w:t>
      </w:r>
      <w:r w:rsidRPr="00C27A36">
        <w:rPr>
          <w:rFonts w:eastAsia="Calibri"/>
          <w:szCs w:val="22"/>
          <w:lang w:val="es-CR"/>
        </w:rPr>
        <w:t xml:space="preserve"> </w:t>
      </w:r>
      <w:r w:rsidRPr="00C27A36" w:rsidR="00D4240F">
        <w:rPr>
          <w:rFonts w:eastAsia="Calibri"/>
          <w:szCs w:val="22"/>
          <w:lang w:val="es-CR"/>
        </w:rPr>
        <w:t>se dispone</w:t>
      </w:r>
      <w:r w:rsidRPr="00C27A36" w:rsidR="00A7302C">
        <w:rPr>
          <w:rFonts w:eastAsia="Calibri"/>
          <w:szCs w:val="22"/>
          <w:lang w:val="es-CR"/>
        </w:rPr>
        <w:t xml:space="preserve"> </w:t>
      </w:r>
      <w:r w:rsidRPr="00C27A36" w:rsidR="00481096">
        <w:rPr>
          <w:rFonts w:eastAsia="Calibri"/>
          <w:szCs w:val="22"/>
          <w:lang w:val="es-CR"/>
        </w:rPr>
        <w:t>que el Banco Popular de Desarrollo Comunal</w:t>
      </w:r>
      <w:r w:rsidRPr="00C27A36" w:rsidR="00D4240F">
        <w:rPr>
          <w:rFonts w:eastAsia="Calibri"/>
          <w:szCs w:val="22"/>
          <w:lang w:val="es-CR"/>
        </w:rPr>
        <w:t>,</w:t>
      </w:r>
      <w:r w:rsidRPr="00C27A36" w:rsidR="00481096">
        <w:rPr>
          <w:rFonts w:eastAsia="Calibri"/>
          <w:szCs w:val="22"/>
          <w:lang w:val="es-CR"/>
        </w:rPr>
        <w:t xml:space="preserve"> adicionalmente</w:t>
      </w:r>
      <w:r w:rsidRPr="00C27A36" w:rsidR="00D4240F">
        <w:rPr>
          <w:rFonts w:eastAsia="Calibri"/>
          <w:szCs w:val="22"/>
          <w:lang w:val="es-CR"/>
        </w:rPr>
        <w:t>,</w:t>
      </w:r>
      <w:r w:rsidRPr="00C27A36" w:rsidR="00481096">
        <w:rPr>
          <w:rFonts w:eastAsia="Calibri"/>
          <w:szCs w:val="22"/>
          <w:lang w:val="es-CR"/>
        </w:rPr>
        <w:t xml:space="preserve"> trasladará al Fideicomiso de Garantías del Sistema de Pagos del Banco Central, valores de la mejor calidad crediticia por un monto equivalente al 2% del total de sus depósitos y captaciones, exceptuando los depósitos en cuenta corriente, dado que éstos estarían sujetos al 2%</w:t>
      </w:r>
      <w:r w:rsidRPr="00C27A36" w:rsidR="00A7302C">
        <w:rPr>
          <w:rFonts w:eastAsia="Calibri"/>
          <w:szCs w:val="22"/>
          <w:lang w:val="es-CR"/>
        </w:rPr>
        <w:t xml:space="preserve"> de su importe</w:t>
      </w:r>
      <w:r w:rsidRPr="00C27A36" w:rsidR="00481096">
        <w:rPr>
          <w:rFonts w:eastAsia="Calibri"/>
          <w:szCs w:val="22"/>
          <w:lang w:val="es-CR"/>
        </w:rPr>
        <w:t xml:space="preserve">  para fines de</w:t>
      </w:r>
      <w:r w:rsidRPr="00C27A36" w:rsidR="00D4240F">
        <w:rPr>
          <w:rFonts w:eastAsia="Calibri"/>
          <w:szCs w:val="22"/>
          <w:lang w:val="es-CR"/>
        </w:rPr>
        <w:t xml:space="preserve"> la garantía supracitada al FGD, porcentaje que sería </w:t>
      </w:r>
      <w:r w:rsidRPr="00C27A36" w:rsidR="00974D26">
        <w:rPr>
          <w:rFonts w:eastAsia="Calibri"/>
          <w:szCs w:val="22"/>
          <w:lang w:val="es-CR"/>
        </w:rPr>
        <w:t>asumido</w:t>
      </w:r>
      <w:r w:rsidRPr="00C27A36" w:rsidR="00D4240F">
        <w:rPr>
          <w:rFonts w:eastAsia="Calibri"/>
          <w:szCs w:val="22"/>
          <w:lang w:val="es-CR"/>
        </w:rPr>
        <w:t xml:space="preserve"> del encaje mínimo legal al que están sujetos esos pasivos.</w:t>
      </w:r>
      <w:r w:rsidRPr="00C27A36" w:rsidR="00481096">
        <w:rPr>
          <w:rFonts w:eastAsia="Calibri"/>
          <w:szCs w:val="22"/>
          <w:lang w:val="es-CR"/>
        </w:rPr>
        <w:t xml:space="preserve"> </w:t>
      </w:r>
      <w:r w:rsidRPr="00C27A36" w:rsidR="00743C20">
        <w:rPr>
          <w:rFonts w:eastAsia="Calibri"/>
          <w:szCs w:val="22"/>
          <w:lang w:val="es-CR"/>
        </w:rPr>
        <w:t xml:space="preserve">No obstante, ese Banco </w:t>
      </w:r>
      <w:r w:rsidRPr="00C27A36" w:rsidR="00DC2ED1">
        <w:rPr>
          <w:rFonts w:eastAsia="Calibri"/>
          <w:szCs w:val="22"/>
          <w:lang w:val="es-CR"/>
        </w:rPr>
        <w:t xml:space="preserve">tendrá 24 meses para constituir esa garantía, conforme al transitorio I del </w:t>
      </w:r>
      <w:r w:rsidRPr="00C27A36" w:rsidR="00DC2ED1">
        <w:rPr>
          <w:rFonts w:eastAsia="Calibri"/>
          <w:i/>
          <w:szCs w:val="22"/>
          <w:lang w:val="es-CR"/>
        </w:rPr>
        <w:t>Reglamento de Gestión del Fondo de Garantía de Depósitos (FGD) y de otros Fondos de Garant</w:t>
      </w:r>
      <w:r w:rsidRPr="00C27A36" w:rsidR="00A63A69">
        <w:rPr>
          <w:rFonts w:eastAsia="Calibri"/>
          <w:i/>
          <w:szCs w:val="22"/>
          <w:lang w:val="es-CR"/>
        </w:rPr>
        <w:t>ía (OFG)</w:t>
      </w:r>
      <w:r w:rsidRPr="00C27A36" w:rsidR="00A63A69">
        <w:rPr>
          <w:rFonts w:eastAsia="Calibri"/>
          <w:szCs w:val="22"/>
          <w:lang w:val="es-CR"/>
        </w:rPr>
        <w:t>, el cual se fundamenta en los transitorios I y III de la Ley N° 9816.</w:t>
      </w:r>
    </w:p>
    <w:p w:rsidRPr="00C27A36" w:rsidR="003558D0" w:rsidP="00743C20" w:rsidRDefault="003558D0" w14:paraId="6FCF56BD" w14:textId="77777777">
      <w:pPr>
        <w:autoSpaceDE w:val="0"/>
        <w:autoSpaceDN w:val="0"/>
        <w:adjustRightInd w:val="0"/>
        <w:spacing w:after="160" w:line="240" w:lineRule="auto"/>
        <w:ind w:left="1080"/>
        <w:contextualSpacing/>
        <w:rPr>
          <w:rFonts w:eastAsia="Calibri"/>
          <w:szCs w:val="22"/>
          <w:lang w:val="es-CR"/>
        </w:rPr>
      </w:pPr>
    </w:p>
    <w:p w:rsidRPr="00C27A36" w:rsidR="00481096" w:rsidP="00481096" w:rsidRDefault="00481096" w14:paraId="22C733BD" w14:textId="2912C512">
      <w:pPr>
        <w:numPr>
          <w:ilvl w:val="0"/>
          <w:numId w:val="5"/>
        </w:numPr>
        <w:autoSpaceDE w:val="0"/>
        <w:autoSpaceDN w:val="0"/>
        <w:adjustRightInd w:val="0"/>
        <w:spacing w:after="160" w:line="240" w:lineRule="auto"/>
        <w:contextualSpacing/>
        <w:rPr>
          <w:rFonts w:eastAsia="Calibri"/>
          <w:szCs w:val="22"/>
          <w:lang w:val="es-CR"/>
        </w:rPr>
      </w:pPr>
      <w:r w:rsidRPr="00C27A36">
        <w:rPr>
          <w:rFonts w:eastAsia="Calibri"/>
          <w:szCs w:val="22"/>
          <w:lang w:val="es-CR"/>
        </w:rPr>
        <w:t xml:space="preserve">El título III </w:t>
      </w:r>
      <w:r w:rsidRPr="00C27A36">
        <w:rPr>
          <w:rFonts w:eastAsia="Calibri"/>
          <w:i/>
          <w:iCs/>
          <w:szCs w:val="22"/>
          <w:lang w:val="es-CR"/>
        </w:rPr>
        <w:t>“Disposiciones sobre encaje mínimo legal”</w:t>
      </w:r>
      <w:r w:rsidRPr="00C27A36">
        <w:rPr>
          <w:rFonts w:eastAsia="Calibri"/>
          <w:szCs w:val="22"/>
          <w:lang w:val="es-CR"/>
        </w:rPr>
        <w:t xml:space="preserve"> de las </w:t>
      </w:r>
      <w:r w:rsidRPr="00C27A36">
        <w:rPr>
          <w:rFonts w:eastAsia="Calibri"/>
          <w:i/>
          <w:szCs w:val="22"/>
          <w:lang w:val="es-CR"/>
        </w:rPr>
        <w:t>Regulaciones de Política Monetaria</w:t>
      </w:r>
      <w:r w:rsidRPr="00C27A36" w:rsidR="00D93496">
        <w:rPr>
          <w:rFonts w:eastAsia="Calibri"/>
          <w:i/>
          <w:szCs w:val="22"/>
          <w:lang w:val="es-CR"/>
        </w:rPr>
        <w:t>,</w:t>
      </w:r>
      <w:r w:rsidRPr="00C27A36" w:rsidR="00D93496">
        <w:rPr>
          <w:rFonts w:eastAsia="Calibri"/>
          <w:szCs w:val="22"/>
          <w:lang w:val="es-CR"/>
        </w:rPr>
        <w:t xml:space="preserve"> emanadas</w:t>
      </w:r>
      <w:r w:rsidRPr="00C27A36">
        <w:rPr>
          <w:rFonts w:eastAsia="Calibri"/>
          <w:szCs w:val="22"/>
          <w:lang w:val="es-CR"/>
        </w:rPr>
        <w:t xml:space="preserve"> del Banco Central de Costa Rica (BCCR)</w:t>
      </w:r>
      <w:r w:rsidRPr="00C27A36" w:rsidR="00D93496">
        <w:rPr>
          <w:rFonts w:eastAsia="Calibri"/>
          <w:szCs w:val="22"/>
          <w:lang w:val="es-CR"/>
        </w:rPr>
        <w:t>,</w:t>
      </w:r>
      <w:r w:rsidRPr="00C27A36">
        <w:rPr>
          <w:rFonts w:eastAsia="Calibri"/>
          <w:szCs w:val="22"/>
          <w:lang w:val="es-CR"/>
        </w:rPr>
        <w:t xml:space="preserve"> </w:t>
      </w:r>
      <w:r w:rsidRPr="00C27A36" w:rsidR="00683E8F">
        <w:rPr>
          <w:rFonts w:eastAsia="Calibri"/>
          <w:szCs w:val="22"/>
          <w:lang w:val="es-CR"/>
        </w:rPr>
        <w:t>establece</w:t>
      </w:r>
      <w:r w:rsidRPr="00C27A36">
        <w:rPr>
          <w:rFonts w:eastAsia="Calibri"/>
          <w:szCs w:val="22"/>
          <w:lang w:val="es-CR"/>
        </w:rPr>
        <w:t xml:space="preserve"> que las tasas del encaje mínimo legal serán del 12% para moneda nacional y el 15% para moneda extranjera. </w:t>
      </w:r>
    </w:p>
    <w:p w:rsidRPr="00C27A36" w:rsidR="00481096" w:rsidP="00481096" w:rsidRDefault="00481096" w14:paraId="4F1892AE" w14:textId="77777777">
      <w:pPr>
        <w:spacing w:after="160" w:line="259" w:lineRule="auto"/>
        <w:ind w:left="720"/>
        <w:contextualSpacing/>
        <w:rPr>
          <w:rFonts w:eastAsia="Calibri"/>
          <w:szCs w:val="22"/>
          <w:lang w:val="es-CR"/>
        </w:rPr>
      </w:pPr>
    </w:p>
    <w:p w:rsidRPr="00C27A36" w:rsidR="00481096" w:rsidP="00481096" w:rsidRDefault="00481096" w14:paraId="7CBFFFD0" w14:textId="72926DD4">
      <w:pPr>
        <w:numPr>
          <w:ilvl w:val="0"/>
          <w:numId w:val="5"/>
        </w:numPr>
        <w:autoSpaceDE w:val="0"/>
        <w:autoSpaceDN w:val="0"/>
        <w:adjustRightInd w:val="0"/>
        <w:spacing w:after="160" w:line="240" w:lineRule="auto"/>
        <w:contextualSpacing/>
        <w:rPr>
          <w:rFonts w:eastAsia="Calibri"/>
          <w:szCs w:val="22"/>
          <w:lang w:val="es-CR"/>
        </w:rPr>
      </w:pPr>
      <w:r w:rsidRPr="00C27A36">
        <w:rPr>
          <w:rFonts w:eastAsia="Calibri"/>
          <w:szCs w:val="22"/>
          <w:lang w:val="es-CR"/>
        </w:rPr>
        <w:t xml:space="preserve">El título VI </w:t>
      </w:r>
      <w:r w:rsidRPr="00C27A36">
        <w:rPr>
          <w:rFonts w:eastAsia="Calibri"/>
          <w:i/>
          <w:iCs/>
          <w:szCs w:val="22"/>
          <w:lang w:val="es-CR"/>
        </w:rPr>
        <w:t>“Disposiciones sobre la reserva de liquidez”</w:t>
      </w:r>
      <w:r w:rsidRPr="00C27A36">
        <w:rPr>
          <w:rFonts w:eastAsia="Calibri"/>
          <w:szCs w:val="22"/>
          <w:lang w:val="es-CR"/>
        </w:rPr>
        <w:t xml:space="preserve"> de las</w:t>
      </w:r>
      <w:r w:rsidRPr="00C27A36" w:rsidR="00683E8F">
        <w:rPr>
          <w:rFonts w:eastAsia="Calibri"/>
          <w:szCs w:val="22"/>
          <w:lang w:val="es-CR"/>
        </w:rPr>
        <w:t xml:space="preserve"> mismas</w:t>
      </w:r>
      <w:r w:rsidRPr="00C27A36">
        <w:rPr>
          <w:rFonts w:eastAsia="Calibri"/>
          <w:szCs w:val="22"/>
          <w:lang w:val="es-CR"/>
        </w:rPr>
        <w:t xml:space="preserve"> </w:t>
      </w:r>
      <w:r w:rsidRPr="00C27A36">
        <w:rPr>
          <w:rFonts w:eastAsia="Calibri"/>
          <w:i/>
          <w:szCs w:val="22"/>
          <w:lang w:val="es-CR"/>
        </w:rPr>
        <w:t>Regulaciones de Política Monetaria</w:t>
      </w:r>
      <w:r w:rsidRPr="00C27A36">
        <w:rPr>
          <w:rFonts w:eastAsia="Calibri"/>
          <w:szCs w:val="22"/>
          <w:lang w:val="es-CR"/>
        </w:rPr>
        <w:t xml:space="preserve"> </w:t>
      </w:r>
      <w:r w:rsidRPr="00C27A36" w:rsidR="00D93496">
        <w:rPr>
          <w:rFonts w:eastAsia="Calibri"/>
          <w:szCs w:val="22"/>
          <w:lang w:val="es-CR"/>
        </w:rPr>
        <w:t xml:space="preserve">mencionadas </w:t>
      </w:r>
      <w:r w:rsidRPr="00C27A36" w:rsidR="00EB4A28">
        <w:rPr>
          <w:rFonts w:eastAsia="Calibri"/>
          <w:szCs w:val="22"/>
          <w:lang w:val="es-CR"/>
        </w:rPr>
        <w:t>señala</w:t>
      </w:r>
      <w:r w:rsidRPr="00C27A36">
        <w:rPr>
          <w:rFonts w:eastAsia="Calibri"/>
          <w:szCs w:val="22"/>
          <w:lang w:val="es-CR"/>
        </w:rPr>
        <w:t xml:space="preserve"> que las entidades sujetas a la reserva de liquidez deberán mantener un porcentaje del 12% para las operaciones en moneda nacional y del 15% para las operaciones en moneda extranjera. Además</w:t>
      </w:r>
      <w:r w:rsidRPr="00C27A36" w:rsidR="00C05F76">
        <w:rPr>
          <w:rFonts w:eastAsia="Calibri"/>
          <w:szCs w:val="22"/>
          <w:lang w:val="es-CR"/>
        </w:rPr>
        <w:t>,</w:t>
      </w:r>
      <w:r w:rsidRPr="00C27A36">
        <w:rPr>
          <w:rFonts w:eastAsia="Calibri"/>
          <w:szCs w:val="22"/>
          <w:lang w:val="es-CR"/>
        </w:rPr>
        <w:t xml:space="preserve"> se</w:t>
      </w:r>
      <w:r w:rsidRPr="00C27A36" w:rsidR="00C05F76">
        <w:rPr>
          <w:rFonts w:eastAsia="Calibri"/>
          <w:szCs w:val="22"/>
          <w:lang w:val="es-CR"/>
        </w:rPr>
        <w:t xml:space="preserve"> indica</w:t>
      </w:r>
      <w:r w:rsidRPr="00C27A36">
        <w:rPr>
          <w:rFonts w:eastAsia="Calibri"/>
          <w:szCs w:val="22"/>
          <w:lang w:val="es-CR"/>
        </w:rPr>
        <w:t xml:space="preserve"> que la reserva de liquidez para operaciones denominadas en moneda nacional</w:t>
      </w:r>
      <w:r w:rsidRPr="00C27A36" w:rsidR="00C05F76">
        <w:rPr>
          <w:rFonts w:eastAsia="Calibri"/>
          <w:szCs w:val="22"/>
          <w:lang w:val="es-CR"/>
        </w:rPr>
        <w:t>,</w:t>
      </w:r>
      <w:r w:rsidRPr="00C27A36">
        <w:rPr>
          <w:rFonts w:eastAsia="Calibri"/>
          <w:szCs w:val="22"/>
          <w:lang w:val="es-CR"/>
        </w:rPr>
        <w:t xml:space="preserve"> deberá mantenerse en un 100%, en instrumentos financieros del Banco Central de Costa Rica y para la reserva de liquidez en operaciones denominadas en moneda extranjera deberá mantenerse en títulos del Gobierno Central y en títulos e instrumentos de depósito del Sistema Bancario Nacional, incluido el BCCR.</w:t>
      </w:r>
    </w:p>
    <w:p w:rsidRPr="00C27A36" w:rsidR="00481096" w:rsidP="00481096" w:rsidRDefault="00481096" w14:paraId="4B5EF352" w14:textId="77777777">
      <w:pPr>
        <w:autoSpaceDE w:val="0"/>
        <w:autoSpaceDN w:val="0"/>
        <w:adjustRightInd w:val="0"/>
        <w:spacing w:line="240" w:lineRule="auto"/>
        <w:ind w:left="1080"/>
        <w:contextualSpacing/>
        <w:rPr>
          <w:rFonts w:eastAsia="Calibri"/>
          <w:szCs w:val="22"/>
          <w:lang w:val="es-CR"/>
        </w:rPr>
      </w:pPr>
      <w:bookmarkStart w:name="_Toc396831495" w:id="1"/>
      <w:bookmarkStart w:name="_Toc60903930" w:id="2"/>
    </w:p>
    <w:bookmarkEnd w:id="1"/>
    <w:bookmarkEnd w:id="2"/>
    <w:p w:rsidRPr="00C27A36" w:rsidR="00481096" w:rsidP="00481096" w:rsidRDefault="00481096" w14:paraId="14A96623" w14:textId="77777777">
      <w:pPr>
        <w:spacing w:line="240" w:lineRule="auto"/>
        <w:rPr>
          <w:rFonts w:eastAsia="Calibri"/>
          <w:b/>
          <w:bCs/>
          <w:szCs w:val="22"/>
          <w:lang w:val="es-CR"/>
        </w:rPr>
      </w:pPr>
      <w:r w:rsidRPr="00C27A36">
        <w:rPr>
          <w:rFonts w:eastAsia="Calibri"/>
          <w:b/>
          <w:bCs/>
          <w:szCs w:val="22"/>
          <w:lang w:val="es-CR"/>
        </w:rPr>
        <w:t>Dispone:</w:t>
      </w:r>
    </w:p>
    <w:p w:rsidRPr="00C27A36" w:rsidR="00481096" w:rsidP="00481096" w:rsidRDefault="00481096" w14:paraId="41BFFBEB" w14:textId="77777777">
      <w:pPr>
        <w:spacing w:line="240" w:lineRule="auto"/>
        <w:rPr>
          <w:rFonts w:eastAsia="Calibri"/>
          <w:b/>
          <w:bCs/>
          <w:szCs w:val="22"/>
          <w:lang w:val="es-CR"/>
        </w:rPr>
      </w:pPr>
    </w:p>
    <w:p w:rsidRPr="00C27A36" w:rsidR="00481096" w:rsidP="00481096" w:rsidRDefault="00481096" w14:paraId="7D3050D7" w14:textId="77777777">
      <w:pPr>
        <w:numPr>
          <w:ilvl w:val="0"/>
          <w:numId w:val="4"/>
        </w:numPr>
        <w:spacing w:after="160" w:line="240" w:lineRule="auto"/>
        <w:contextualSpacing/>
        <w:rPr>
          <w:rFonts w:eastAsia="Calibri"/>
          <w:szCs w:val="22"/>
          <w:lang w:val="es-CR"/>
        </w:rPr>
      </w:pPr>
      <w:r w:rsidRPr="00C27A36">
        <w:rPr>
          <w:rFonts w:eastAsia="Calibri"/>
          <w:szCs w:val="22"/>
          <w:lang w:val="es-CR"/>
        </w:rPr>
        <w:t>A partir del 30 de junio del 2021, las entidades contribuyentes sujetas a la reserva de liquidez deberán mantener en el Fideicomiso de Garantías del Sistema de Pagos del Banco Central, valores y depósitos por una cuantía equivalente al 2% de los pasivos sujetos a la reserva de liquidez.</w:t>
      </w:r>
    </w:p>
    <w:p w:rsidRPr="00C27A36" w:rsidR="00481096" w:rsidP="00481096" w:rsidRDefault="00481096" w14:paraId="419A4C94" w14:textId="77777777">
      <w:pPr>
        <w:spacing w:line="240" w:lineRule="auto"/>
        <w:ind w:left="720"/>
        <w:contextualSpacing/>
        <w:rPr>
          <w:rFonts w:eastAsia="Calibri"/>
          <w:szCs w:val="22"/>
          <w:lang w:val="es-CR"/>
        </w:rPr>
      </w:pPr>
    </w:p>
    <w:p w:rsidRPr="00C27A36" w:rsidR="00481096" w:rsidP="00481096" w:rsidRDefault="00481096" w14:paraId="5778A900" w14:textId="6EA20CFD">
      <w:pPr>
        <w:numPr>
          <w:ilvl w:val="0"/>
          <w:numId w:val="4"/>
        </w:numPr>
        <w:spacing w:after="160" w:line="240" w:lineRule="auto"/>
        <w:contextualSpacing/>
        <w:rPr>
          <w:rFonts w:eastAsia="Calibri"/>
          <w:szCs w:val="22"/>
          <w:lang w:val="es-CR"/>
        </w:rPr>
      </w:pPr>
      <w:r w:rsidRPr="00C27A36">
        <w:rPr>
          <w:rFonts w:eastAsia="Calibri"/>
          <w:szCs w:val="22"/>
          <w:lang w:val="es-CR"/>
        </w:rPr>
        <w:t>Las entidades contribuyentes que a la fecha no se encuentren registradas en el Fideicomiso de Garantías del Sistema de Pagos del Banco Central</w:t>
      </w:r>
      <w:r w:rsidRPr="00C27A36" w:rsidR="00A63A69">
        <w:rPr>
          <w:rFonts w:eastAsia="Calibri"/>
          <w:szCs w:val="22"/>
          <w:lang w:val="es-CR"/>
        </w:rPr>
        <w:t xml:space="preserve"> (Fideicomiso 1044)</w:t>
      </w:r>
      <w:r w:rsidRPr="00C27A36">
        <w:rPr>
          <w:rFonts w:eastAsia="Calibri"/>
          <w:szCs w:val="22"/>
          <w:lang w:val="es-CR"/>
        </w:rPr>
        <w:t>, deberán proceder con la apertura d</w:t>
      </w:r>
      <w:r w:rsidRPr="00C27A36" w:rsidR="00A63A69">
        <w:rPr>
          <w:rFonts w:eastAsia="Calibri"/>
          <w:szCs w:val="22"/>
          <w:lang w:val="es-CR"/>
        </w:rPr>
        <w:t>el contrato de participación en ese Fideicomiso,</w:t>
      </w:r>
      <w:r w:rsidRPr="00C27A36">
        <w:rPr>
          <w:rFonts w:eastAsia="Calibri"/>
          <w:szCs w:val="22"/>
          <w:lang w:val="es-CR"/>
        </w:rPr>
        <w:t xml:space="preserve"> así como</w:t>
      </w:r>
      <w:r w:rsidRPr="00C27A36" w:rsidR="00600D68">
        <w:rPr>
          <w:rFonts w:eastAsia="Calibri"/>
          <w:szCs w:val="22"/>
          <w:lang w:val="es-CR"/>
        </w:rPr>
        <w:t xml:space="preserve"> tramitar la inscripción al Sistema Nacional de Pagos Electrónicos (Sinpe)</w:t>
      </w:r>
      <w:r w:rsidRPr="00C27A36">
        <w:rPr>
          <w:rFonts w:eastAsia="Calibri"/>
          <w:szCs w:val="22"/>
          <w:lang w:val="es-CR"/>
        </w:rPr>
        <w:t>. El plazo para realizar estos trámites será</w:t>
      </w:r>
      <w:r w:rsidRPr="00C27A36" w:rsidR="00600D68">
        <w:rPr>
          <w:rFonts w:eastAsia="Calibri"/>
          <w:szCs w:val="22"/>
          <w:lang w:val="es-CR"/>
        </w:rPr>
        <w:t>,</w:t>
      </w:r>
      <w:r w:rsidRPr="00C27A36">
        <w:rPr>
          <w:rFonts w:eastAsia="Calibri"/>
          <w:szCs w:val="22"/>
          <w:lang w:val="es-CR"/>
        </w:rPr>
        <w:t xml:space="preserve"> a más tardar</w:t>
      </w:r>
      <w:r w:rsidRPr="00C27A36" w:rsidR="00600D68">
        <w:rPr>
          <w:rFonts w:eastAsia="Calibri"/>
          <w:szCs w:val="22"/>
          <w:lang w:val="es-CR"/>
        </w:rPr>
        <w:t>,</w:t>
      </w:r>
      <w:r w:rsidRPr="00C27A36">
        <w:rPr>
          <w:rFonts w:eastAsia="Calibri"/>
          <w:szCs w:val="22"/>
          <w:lang w:val="es-CR"/>
        </w:rPr>
        <w:t xml:space="preserve"> el </w:t>
      </w:r>
      <w:r w:rsidRPr="00C27A36" w:rsidR="00600D68">
        <w:rPr>
          <w:rFonts w:eastAsia="Calibri"/>
          <w:szCs w:val="22"/>
          <w:lang w:val="es-CR"/>
        </w:rPr>
        <w:t xml:space="preserve">30 </w:t>
      </w:r>
      <w:r w:rsidRPr="00C27A36">
        <w:rPr>
          <w:rFonts w:eastAsia="Calibri"/>
          <w:szCs w:val="22"/>
          <w:lang w:val="es-CR"/>
        </w:rPr>
        <w:t>de junio</w:t>
      </w:r>
      <w:r w:rsidRPr="00C27A36" w:rsidR="00600D68">
        <w:rPr>
          <w:rFonts w:eastAsia="Calibri"/>
          <w:szCs w:val="22"/>
          <w:lang w:val="es-CR"/>
        </w:rPr>
        <w:t xml:space="preserve"> de</w:t>
      </w:r>
      <w:r w:rsidRPr="00C27A36">
        <w:rPr>
          <w:rFonts w:eastAsia="Calibri"/>
          <w:szCs w:val="22"/>
          <w:lang w:val="es-CR"/>
        </w:rPr>
        <w:t xml:space="preserve"> 2021.</w:t>
      </w:r>
    </w:p>
    <w:p w:rsidRPr="00C27A36" w:rsidR="00481096" w:rsidP="00481096" w:rsidRDefault="00481096" w14:paraId="4AF839AB" w14:textId="77777777">
      <w:pPr>
        <w:spacing w:after="160" w:line="259" w:lineRule="auto"/>
        <w:ind w:left="720"/>
        <w:contextualSpacing/>
        <w:rPr>
          <w:rFonts w:eastAsia="Calibri"/>
          <w:szCs w:val="22"/>
          <w:lang w:val="es-CR"/>
        </w:rPr>
      </w:pPr>
    </w:p>
    <w:p w:rsidRPr="00C27A36" w:rsidR="00481096" w:rsidP="00481096" w:rsidRDefault="00481096" w14:paraId="2FC938B4" w14:textId="63BC509F">
      <w:pPr>
        <w:numPr>
          <w:ilvl w:val="0"/>
          <w:numId w:val="4"/>
        </w:numPr>
        <w:spacing w:after="160" w:line="240" w:lineRule="auto"/>
        <w:contextualSpacing/>
        <w:rPr>
          <w:rFonts w:eastAsia="Calibri"/>
          <w:szCs w:val="22"/>
          <w:lang w:val="es-CR"/>
        </w:rPr>
      </w:pPr>
      <w:r w:rsidRPr="00C27A36">
        <w:rPr>
          <w:rFonts w:eastAsia="Calibri"/>
          <w:szCs w:val="22"/>
          <w:lang w:val="es-CR"/>
        </w:rPr>
        <w:t>Para el caso</w:t>
      </w:r>
      <w:r w:rsidRPr="00C27A36" w:rsidR="00600D68">
        <w:rPr>
          <w:rFonts w:eastAsia="Calibri"/>
          <w:szCs w:val="22"/>
          <w:lang w:val="es-CR"/>
        </w:rPr>
        <w:t xml:space="preserve"> de las entidades que se encuentran en el régimen de </w:t>
      </w:r>
      <w:r w:rsidRPr="00C27A36">
        <w:rPr>
          <w:rFonts w:eastAsia="Calibri"/>
          <w:szCs w:val="22"/>
          <w:lang w:val="es-CR"/>
        </w:rPr>
        <w:t xml:space="preserve">reserva de liquidez, los valores y depósitos que deberán mantener en el Fideicomiso de Garantías del </w:t>
      </w:r>
      <w:r w:rsidRPr="00C27A36">
        <w:rPr>
          <w:rFonts w:eastAsia="Calibri"/>
          <w:szCs w:val="22"/>
          <w:lang w:val="es-CR"/>
        </w:rPr>
        <w:lastRenderedPageBreak/>
        <w:t>Sistema de Pagos del Banco Central</w:t>
      </w:r>
      <w:r w:rsidRPr="00C27A36" w:rsidR="00600D68">
        <w:rPr>
          <w:rFonts w:eastAsia="Calibri"/>
          <w:szCs w:val="22"/>
          <w:lang w:val="es-CR"/>
        </w:rPr>
        <w:t xml:space="preserve"> de Costa Rica</w:t>
      </w:r>
      <w:r w:rsidRPr="00C27A36">
        <w:rPr>
          <w:rFonts w:eastAsia="Calibri"/>
          <w:szCs w:val="22"/>
          <w:lang w:val="es-CR"/>
        </w:rPr>
        <w:t xml:space="preserve"> corresponderán a los mismos instrumentos que detalla</w:t>
      </w:r>
      <w:r w:rsidRPr="00C27A36" w:rsidR="00600D68">
        <w:rPr>
          <w:rFonts w:eastAsia="Calibri"/>
          <w:szCs w:val="22"/>
          <w:lang w:val="es-CR"/>
        </w:rPr>
        <w:t>n</w:t>
      </w:r>
      <w:r w:rsidRPr="00C27A36">
        <w:rPr>
          <w:rFonts w:eastAsia="Calibri"/>
          <w:szCs w:val="22"/>
          <w:lang w:val="es-CR"/>
        </w:rPr>
        <w:t xml:space="preserve"> </w:t>
      </w:r>
      <w:r w:rsidRPr="00C27A36" w:rsidR="00600D68">
        <w:rPr>
          <w:rFonts w:eastAsia="Calibri"/>
          <w:szCs w:val="22"/>
          <w:lang w:val="es-CR"/>
        </w:rPr>
        <w:t xml:space="preserve">las Regulaciones de Política Monetaria, emitidas por el BCCR,   </w:t>
      </w:r>
      <w:r w:rsidRPr="00C27A36">
        <w:rPr>
          <w:rFonts w:eastAsia="Calibri"/>
          <w:szCs w:val="22"/>
          <w:lang w:val="es-CR"/>
        </w:rPr>
        <w:t xml:space="preserve"> para constituir la reserva de liquidez.</w:t>
      </w:r>
      <w:r w:rsidRPr="00C27A36" w:rsidDel="00603E2F">
        <w:rPr>
          <w:rFonts w:eastAsia="Calibri"/>
          <w:szCs w:val="22"/>
          <w:lang w:val="es-CR"/>
        </w:rPr>
        <w:t xml:space="preserve"> </w:t>
      </w:r>
    </w:p>
    <w:p w:rsidRPr="00C27A36" w:rsidR="00481096" w:rsidP="00481096" w:rsidRDefault="00481096" w14:paraId="5591143A" w14:textId="77777777">
      <w:pPr>
        <w:spacing w:line="240" w:lineRule="auto"/>
        <w:ind w:left="720"/>
        <w:contextualSpacing/>
        <w:rPr>
          <w:rFonts w:eastAsia="Calibri"/>
          <w:szCs w:val="22"/>
          <w:lang w:val="es-CR"/>
        </w:rPr>
      </w:pPr>
    </w:p>
    <w:p w:rsidRPr="00C27A36" w:rsidR="00D91B55" w:rsidP="00D91B55" w:rsidRDefault="00D91B55" w14:paraId="62C2A0DF" w14:textId="77777777">
      <w:pPr>
        <w:numPr>
          <w:ilvl w:val="0"/>
          <w:numId w:val="4"/>
        </w:numPr>
        <w:spacing w:after="160" w:line="240" w:lineRule="auto"/>
        <w:contextualSpacing/>
        <w:rPr>
          <w:rFonts w:eastAsia="Calibri"/>
          <w:szCs w:val="22"/>
          <w:lang w:val="es-CR"/>
        </w:rPr>
      </w:pPr>
      <w:r w:rsidRPr="00C27A36">
        <w:rPr>
          <w:rFonts w:eastAsia="Calibri"/>
          <w:szCs w:val="22"/>
          <w:lang w:val="es-CR"/>
        </w:rPr>
        <w:t>Las entidades contribuyentes sujetas al encaje mínimo legal no deben efectuar ningún trámite adicional.</w:t>
      </w:r>
    </w:p>
    <w:p w:rsidRPr="00C27A36" w:rsidR="00D91B55" w:rsidP="00D91B55" w:rsidRDefault="00D91B55" w14:paraId="5FA2667F" w14:textId="77777777">
      <w:pPr>
        <w:spacing w:after="160" w:line="240" w:lineRule="auto"/>
        <w:ind w:left="720"/>
        <w:contextualSpacing/>
        <w:rPr>
          <w:rFonts w:eastAsia="Calibri"/>
          <w:szCs w:val="22"/>
          <w:lang w:val="es-CR"/>
        </w:rPr>
      </w:pPr>
    </w:p>
    <w:p w:rsidRPr="00C27A36" w:rsidR="00481096" w:rsidP="00481096" w:rsidRDefault="00481096" w14:paraId="5B4E10C3" w14:textId="55E57E03">
      <w:pPr>
        <w:numPr>
          <w:ilvl w:val="0"/>
          <w:numId w:val="4"/>
        </w:numPr>
        <w:spacing w:after="160" w:line="259" w:lineRule="auto"/>
        <w:contextualSpacing/>
        <w:rPr>
          <w:rFonts w:eastAsia="Calibri"/>
          <w:szCs w:val="22"/>
          <w:lang w:val="es-CR"/>
        </w:rPr>
      </w:pPr>
      <w:r w:rsidRPr="00C27A36">
        <w:rPr>
          <w:rFonts w:eastAsia="Calibri"/>
          <w:szCs w:val="22"/>
          <w:lang w:val="es-CR"/>
        </w:rPr>
        <w:t>Actualmente</w:t>
      </w:r>
      <w:r w:rsidRPr="00C27A36" w:rsidR="00D91B55">
        <w:rPr>
          <w:rFonts w:eastAsia="Calibri"/>
          <w:szCs w:val="22"/>
          <w:lang w:val="es-CR"/>
        </w:rPr>
        <w:t>,</w:t>
      </w:r>
      <w:r w:rsidRPr="00C27A36">
        <w:rPr>
          <w:rFonts w:eastAsia="Calibri"/>
          <w:szCs w:val="22"/>
          <w:lang w:val="es-CR"/>
        </w:rPr>
        <w:t xml:space="preserve"> el BCCR se encuentra realizando los ajustes al sistema de Sinpe con el fin de que las entidades contribuyentes puedan visualizar</w:t>
      </w:r>
      <w:r w:rsidRPr="00C27A36" w:rsidR="00D91B55">
        <w:rPr>
          <w:rFonts w:eastAsia="Calibri"/>
          <w:szCs w:val="22"/>
          <w:lang w:val="es-CR"/>
        </w:rPr>
        <w:t>,</w:t>
      </w:r>
      <w:r w:rsidRPr="00C27A36">
        <w:rPr>
          <w:rFonts w:eastAsia="Calibri"/>
          <w:szCs w:val="22"/>
          <w:lang w:val="es-CR"/>
        </w:rPr>
        <w:t xml:space="preserve"> en sus estados de cuenta, el monto por concepto de la garantía contingente.</w:t>
      </w:r>
    </w:p>
    <w:p w:rsidRPr="00C27A36" w:rsidR="00481096" w:rsidP="00481096" w:rsidRDefault="00481096" w14:paraId="7E3B1095" w14:textId="77777777">
      <w:pPr>
        <w:spacing w:after="160" w:line="259" w:lineRule="auto"/>
        <w:ind w:left="720"/>
        <w:contextualSpacing/>
        <w:rPr>
          <w:rFonts w:eastAsia="Calibri"/>
          <w:szCs w:val="22"/>
          <w:lang w:val="es-CR"/>
        </w:rPr>
      </w:pPr>
    </w:p>
    <w:p w:rsidRPr="00C27A36" w:rsidR="00481096" w:rsidP="00481096" w:rsidRDefault="00481096" w14:paraId="3AF81259" w14:textId="18DF4E37">
      <w:pPr>
        <w:numPr>
          <w:ilvl w:val="0"/>
          <w:numId w:val="4"/>
        </w:numPr>
        <w:spacing w:after="160" w:line="240" w:lineRule="auto"/>
        <w:contextualSpacing/>
        <w:rPr>
          <w:rFonts w:eastAsia="Calibri"/>
          <w:i/>
          <w:iCs/>
          <w:szCs w:val="22"/>
          <w:lang w:val="es-CR"/>
        </w:rPr>
      </w:pPr>
      <w:r w:rsidRPr="00C27A36">
        <w:rPr>
          <w:rFonts w:eastAsia="Calibri"/>
          <w:szCs w:val="22"/>
          <w:lang w:val="es-CR"/>
        </w:rPr>
        <w:t>No obstante, se les recuerda a las entidades que</w:t>
      </w:r>
      <w:r w:rsidRPr="00C27A36" w:rsidR="00FD77A3">
        <w:rPr>
          <w:rFonts w:eastAsia="Calibri"/>
          <w:szCs w:val="22"/>
          <w:lang w:val="es-CR"/>
        </w:rPr>
        <w:t>,</w:t>
      </w:r>
      <w:r w:rsidRPr="00C27A36">
        <w:rPr>
          <w:rFonts w:eastAsia="Calibri"/>
          <w:szCs w:val="22"/>
          <w:lang w:val="es-CR"/>
        </w:rPr>
        <w:t xml:space="preserve"> a partir </w:t>
      </w:r>
      <w:r w:rsidRPr="00C27A36" w:rsidR="00FD77A3">
        <w:rPr>
          <w:rFonts w:eastAsia="Calibri"/>
          <w:szCs w:val="22"/>
          <w:lang w:val="es-CR"/>
        </w:rPr>
        <w:t>d</w:t>
      </w:r>
      <w:r w:rsidRPr="00C27A36">
        <w:rPr>
          <w:rFonts w:eastAsia="Calibri"/>
          <w:szCs w:val="22"/>
          <w:lang w:val="es-CR"/>
        </w:rPr>
        <w:t>e junio 2021</w:t>
      </w:r>
      <w:r w:rsidRPr="00C27A36" w:rsidR="00FD77A3">
        <w:rPr>
          <w:rFonts w:eastAsia="Calibri"/>
          <w:szCs w:val="22"/>
          <w:lang w:val="es-CR"/>
        </w:rPr>
        <w:t>,</w:t>
      </w:r>
      <w:r w:rsidRPr="00C27A36">
        <w:rPr>
          <w:rFonts w:eastAsia="Calibri"/>
          <w:szCs w:val="22"/>
          <w:lang w:val="es-CR"/>
        </w:rPr>
        <w:t xml:space="preserve"> las entidades contribuyentes deberán registrar el 2% del total de los pasivos sujetos a encaje mínimo legal o a reserva de liquidez, según corresponda, en las cuentas contables creadas en el Plan de Cuentas para dicho fi</w:t>
      </w:r>
      <w:r w:rsidRPr="00C27A36" w:rsidR="00D91B55">
        <w:rPr>
          <w:rFonts w:eastAsia="Calibri"/>
          <w:szCs w:val="22"/>
          <w:lang w:val="es-CR"/>
        </w:rPr>
        <w:t>n, tal como se establece en el t</w:t>
      </w:r>
      <w:r w:rsidRPr="00C27A36">
        <w:rPr>
          <w:rFonts w:eastAsia="Calibri"/>
          <w:szCs w:val="22"/>
          <w:lang w:val="es-CR"/>
        </w:rPr>
        <w:t xml:space="preserve">ransitorio V del </w:t>
      </w:r>
      <w:r w:rsidRPr="00C27A36">
        <w:rPr>
          <w:rFonts w:eastAsia="Calibri"/>
          <w:i/>
          <w:iCs/>
          <w:szCs w:val="22"/>
          <w:lang w:val="es-CR"/>
        </w:rPr>
        <w:t>Reglamento de gestión del Fondo de Garantía de Depósitos (FGD</w:t>
      </w:r>
      <w:r w:rsidRPr="00C27A36" w:rsidR="00A63A69">
        <w:rPr>
          <w:rFonts w:eastAsia="Calibri"/>
          <w:i/>
          <w:iCs/>
          <w:szCs w:val="22"/>
          <w:lang w:val="es-CR"/>
        </w:rPr>
        <w:t>) y de Otros Fondos de Garantía</w:t>
      </w:r>
      <w:r w:rsidRPr="00C27A36">
        <w:rPr>
          <w:rFonts w:eastAsia="Calibri"/>
          <w:i/>
          <w:iCs/>
          <w:szCs w:val="22"/>
          <w:lang w:val="es-CR"/>
        </w:rPr>
        <w:t>.</w:t>
      </w:r>
    </w:p>
    <w:p w:rsidRPr="00C27A36" w:rsidR="00481096" w:rsidP="00481096" w:rsidRDefault="00481096" w14:paraId="59E4C1AA" w14:textId="77777777">
      <w:pPr>
        <w:spacing w:line="240" w:lineRule="auto"/>
        <w:ind w:left="720"/>
        <w:contextualSpacing/>
        <w:rPr>
          <w:rFonts w:eastAsia="Calibri"/>
          <w:szCs w:val="22"/>
          <w:lang w:val="es-CR"/>
        </w:rPr>
      </w:pPr>
    </w:p>
    <w:p w:rsidRPr="00C27A36" w:rsidR="00481096" w:rsidP="00481096" w:rsidRDefault="00481096" w14:paraId="37E66EB9" w14:textId="77777777">
      <w:pPr>
        <w:numPr>
          <w:ilvl w:val="0"/>
          <w:numId w:val="4"/>
        </w:numPr>
        <w:spacing w:after="160" w:line="240" w:lineRule="auto"/>
        <w:contextualSpacing/>
        <w:rPr>
          <w:rFonts w:eastAsia="Calibri"/>
          <w:szCs w:val="22"/>
          <w:lang w:val="es-CR"/>
        </w:rPr>
      </w:pPr>
      <w:r w:rsidRPr="00C27A36">
        <w:rPr>
          <w:rFonts w:eastAsia="Calibri"/>
          <w:szCs w:val="22"/>
          <w:lang w:val="es-CR"/>
        </w:rPr>
        <w:t>El cálculo del 2% del total de los pasivos sujetos a encaje mínimo legal o a reserva de liquidez, según corresponda, se realizará sobre la información de la segunda quincena de cada mes, conforme a los requerimientos de esos regímenes.</w:t>
      </w:r>
    </w:p>
    <w:p w:rsidRPr="00C27A36" w:rsidR="00481096" w:rsidP="00481096" w:rsidRDefault="00481096" w14:paraId="1E32927D" w14:textId="77777777">
      <w:pPr>
        <w:spacing w:after="160" w:line="259" w:lineRule="auto"/>
        <w:ind w:left="720"/>
        <w:contextualSpacing/>
        <w:rPr>
          <w:rFonts w:eastAsia="Calibri"/>
          <w:szCs w:val="22"/>
          <w:lang w:val="es-CR"/>
        </w:rPr>
      </w:pPr>
    </w:p>
    <w:p w:rsidRPr="00C27A36" w:rsidR="00481096" w:rsidP="00481096" w:rsidRDefault="00FD77A3" w14:paraId="152A92BD" w14:textId="585462A8">
      <w:pPr>
        <w:numPr>
          <w:ilvl w:val="0"/>
          <w:numId w:val="4"/>
        </w:numPr>
        <w:spacing w:after="160" w:line="240" w:lineRule="auto"/>
        <w:contextualSpacing/>
        <w:rPr>
          <w:rFonts w:eastAsia="Calibri"/>
          <w:szCs w:val="22"/>
          <w:lang w:val="es-CR"/>
        </w:rPr>
      </w:pPr>
      <w:r w:rsidRPr="00C27A36">
        <w:rPr>
          <w:rFonts w:eastAsia="Calibri"/>
          <w:szCs w:val="22"/>
          <w:lang w:val="es-CR"/>
        </w:rPr>
        <w:t>Cabe indicar que</w:t>
      </w:r>
      <w:r w:rsidRPr="00C27A36" w:rsidR="00481096">
        <w:rPr>
          <w:rFonts w:eastAsia="Calibri"/>
          <w:szCs w:val="22"/>
          <w:lang w:val="es-CR"/>
        </w:rPr>
        <w:t xml:space="preserve"> la metodología del cálculo del encaje mínimo legal y reserva de liquidez no sufre ninguna modificación con la entrada en vigencia de la Ley </w:t>
      </w:r>
      <w:r w:rsidRPr="00C27A36" w:rsidR="00D93496">
        <w:rPr>
          <w:rFonts w:eastAsia="Calibri"/>
          <w:szCs w:val="22"/>
          <w:lang w:val="es-CR"/>
        </w:rPr>
        <w:t xml:space="preserve">N° </w:t>
      </w:r>
      <w:r w:rsidRPr="00C27A36" w:rsidR="00481096">
        <w:rPr>
          <w:rFonts w:eastAsia="Calibri"/>
          <w:szCs w:val="22"/>
          <w:lang w:val="es-CR"/>
        </w:rPr>
        <w:t xml:space="preserve">9816. </w:t>
      </w:r>
    </w:p>
    <w:p w:rsidRPr="00C27A36" w:rsidR="00481096" w:rsidP="00481096" w:rsidRDefault="00481096" w14:paraId="1D4C2186" w14:textId="77777777">
      <w:pPr>
        <w:spacing w:after="160" w:line="259" w:lineRule="auto"/>
        <w:ind w:left="720"/>
        <w:contextualSpacing/>
        <w:rPr>
          <w:rFonts w:eastAsia="Calibri"/>
          <w:szCs w:val="22"/>
          <w:lang w:val="es-CR"/>
        </w:rPr>
      </w:pPr>
    </w:p>
    <w:p w:rsidRPr="00C27A36" w:rsidR="00481096" w:rsidP="00481096" w:rsidRDefault="00481096" w14:paraId="0CAEC263" w14:textId="77777777">
      <w:pPr>
        <w:numPr>
          <w:ilvl w:val="0"/>
          <w:numId w:val="4"/>
        </w:numPr>
        <w:spacing w:after="160" w:line="240" w:lineRule="auto"/>
        <w:contextualSpacing/>
        <w:rPr>
          <w:rFonts w:eastAsia="Calibri"/>
          <w:szCs w:val="22"/>
          <w:lang w:val="es-CR"/>
        </w:rPr>
      </w:pPr>
      <w:r w:rsidRPr="00C27A36">
        <w:rPr>
          <w:rFonts w:eastAsia="Calibri"/>
          <w:szCs w:val="22"/>
          <w:lang w:val="es-CR"/>
        </w:rPr>
        <w:t>Las entidades contribuyentes no deben enviar información adicional a la Sugef o al FGD sobre el cálculo de la garantía contingente.</w:t>
      </w:r>
    </w:p>
    <w:p w:rsidRPr="00C27A36" w:rsidR="00481096" w:rsidP="00481096" w:rsidRDefault="00481096" w14:paraId="276405FD" w14:textId="77777777">
      <w:pPr>
        <w:spacing w:after="160" w:line="259" w:lineRule="auto"/>
        <w:ind w:left="720"/>
        <w:contextualSpacing/>
        <w:rPr>
          <w:rFonts w:eastAsia="Calibri"/>
          <w:szCs w:val="22"/>
          <w:lang w:val="es-CR"/>
        </w:rPr>
      </w:pPr>
    </w:p>
    <w:p w:rsidRPr="00C27A36" w:rsidR="00481096" w:rsidP="00481096" w:rsidRDefault="00FD77A3" w14:paraId="43469353" w14:textId="33E4FEDB">
      <w:pPr>
        <w:numPr>
          <w:ilvl w:val="0"/>
          <w:numId w:val="4"/>
        </w:numPr>
        <w:spacing w:after="160" w:line="240" w:lineRule="auto"/>
        <w:contextualSpacing/>
        <w:rPr>
          <w:rFonts w:eastAsia="Calibri"/>
          <w:szCs w:val="22"/>
          <w:lang w:val="es-CR"/>
        </w:rPr>
      </w:pPr>
      <w:bookmarkStart w:name="_Hlk74759681" w:id="3"/>
      <w:r w:rsidRPr="00C27A36">
        <w:rPr>
          <w:rFonts w:eastAsia="Calibri" w:cs="Segoe UI"/>
          <w:color w:val="000000"/>
          <w:szCs w:val="22"/>
          <w:shd w:val="clear" w:color="auto" w:fill="FFFFFF"/>
          <w:lang w:val="es-CR"/>
        </w:rPr>
        <w:t xml:space="preserve">Para solventar </w:t>
      </w:r>
      <w:r w:rsidRPr="00C27A36">
        <w:rPr>
          <w:rFonts w:eastAsia="Calibri"/>
          <w:szCs w:val="22"/>
          <w:lang w:val="es-CR"/>
        </w:rPr>
        <w:t xml:space="preserve">consultas sobre cómo gestionar el trámite de inscripción al Sinpe y Fideicomiso, así como para consultas sobre la utilización de la herramienta </w:t>
      </w:r>
      <w:r w:rsidRPr="00C27A36" w:rsidR="00481096">
        <w:rPr>
          <w:rFonts w:eastAsia="Calibri"/>
          <w:szCs w:val="22"/>
          <w:lang w:val="es-CR"/>
        </w:rPr>
        <w:t xml:space="preserve">Las entidades contribuyentes pueden comunicarse al Centro de Operaciones del Sinpe (COS) a la dirección electrónica </w:t>
      </w:r>
      <w:hyperlink w:history="1" r:id="rId13">
        <w:r w:rsidRPr="00C27A36" w:rsidR="00481096">
          <w:rPr>
            <w:rFonts w:eastAsia="Calibri" w:cs="Segoe UI"/>
            <w:color w:val="0563C1"/>
            <w:szCs w:val="22"/>
            <w:u w:val="single"/>
            <w:shd w:val="clear" w:color="auto" w:fill="FFFFFF"/>
            <w:lang w:val="es-CR"/>
          </w:rPr>
          <w:t>cos@bccr.fi.cr</w:t>
        </w:r>
      </w:hyperlink>
      <w:r w:rsidRPr="00C27A36" w:rsidR="00481096">
        <w:rPr>
          <w:rFonts w:eastAsia="Calibri"/>
          <w:szCs w:val="22"/>
          <w:lang w:val="es-CR"/>
        </w:rPr>
        <w:t xml:space="preserve"> o llamar a los teléfonos </w:t>
      </w:r>
      <w:r w:rsidRPr="00C27A36" w:rsidR="00D93496">
        <w:rPr>
          <w:rFonts w:eastAsia="Calibri" w:cs="Segoe UI"/>
          <w:color w:val="000000"/>
          <w:szCs w:val="22"/>
          <w:shd w:val="clear" w:color="auto" w:fill="FFFFFF"/>
          <w:lang w:val="es-CR"/>
        </w:rPr>
        <w:t>22433900 ó</w:t>
      </w:r>
      <w:r w:rsidRPr="00C27A36" w:rsidR="00481096">
        <w:rPr>
          <w:rFonts w:eastAsia="Calibri" w:cs="Segoe UI"/>
          <w:color w:val="000000"/>
          <w:szCs w:val="22"/>
          <w:shd w:val="clear" w:color="auto" w:fill="FFFFFF"/>
          <w:lang w:val="es-CR"/>
        </w:rPr>
        <w:t xml:space="preserve"> 2243 4000</w:t>
      </w:r>
      <w:r w:rsidRPr="00C27A36" w:rsidR="00481096">
        <w:rPr>
          <w:rFonts w:eastAsia="Calibri"/>
          <w:szCs w:val="22"/>
          <w:lang w:val="es-CR"/>
        </w:rPr>
        <w:t xml:space="preserve">. </w:t>
      </w:r>
    </w:p>
    <w:bookmarkEnd w:id="3"/>
    <w:p w:rsidRPr="00C27A36" w:rsidR="00481096" w:rsidP="00481096" w:rsidRDefault="00481096" w14:paraId="058EBDE2" w14:textId="77777777">
      <w:pPr>
        <w:spacing w:after="160" w:line="259" w:lineRule="auto"/>
        <w:ind w:left="720"/>
        <w:contextualSpacing/>
        <w:rPr>
          <w:rFonts w:eastAsia="Calibri"/>
          <w:szCs w:val="22"/>
          <w:lang w:val="es-CR"/>
        </w:rPr>
      </w:pPr>
    </w:p>
    <w:p w:rsidRPr="00C27A36" w:rsidR="00481096" w:rsidP="00481096" w:rsidRDefault="00C27A36" w14:paraId="50173BB3" w14:textId="67A9B064">
      <w:pPr>
        <w:numPr>
          <w:ilvl w:val="0"/>
          <w:numId w:val="4"/>
        </w:numPr>
        <w:spacing w:after="160" w:line="240" w:lineRule="auto"/>
        <w:contextualSpacing/>
        <w:rPr>
          <w:rFonts w:eastAsia="Calibri"/>
          <w:szCs w:val="22"/>
          <w:lang w:val="es-CR"/>
        </w:rPr>
      </w:pPr>
      <w:r w:rsidRPr="00C27A36">
        <w:rPr>
          <w:rFonts w:eastAsia="Calibri"/>
          <w:szCs w:val="22"/>
          <w:lang w:val="es-CR"/>
        </w:rPr>
        <w:t>Para finalizar</w:t>
      </w:r>
      <w:r w:rsidRPr="00C27A36" w:rsidR="00481096">
        <w:rPr>
          <w:rFonts w:eastAsia="Calibri"/>
          <w:szCs w:val="22"/>
          <w:lang w:val="es-CR"/>
        </w:rPr>
        <w:t>, se les comunica que l</w:t>
      </w:r>
      <w:r w:rsidRPr="00C27A36" w:rsidR="00A63A69">
        <w:rPr>
          <w:rFonts w:eastAsia="Calibri"/>
          <w:szCs w:val="22"/>
          <w:lang w:val="es-CR"/>
        </w:rPr>
        <w:t>a señora Ana Rita Mora Zúñiga fue nombrada recientemente por la Junta Directiva</w:t>
      </w:r>
      <w:r w:rsidRPr="00C27A36" w:rsidR="00D93496">
        <w:rPr>
          <w:rFonts w:eastAsia="Calibri"/>
          <w:szCs w:val="22"/>
          <w:lang w:val="es-CR"/>
        </w:rPr>
        <w:t xml:space="preserve"> del BCCR</w:t>
      </w:r>
      <w:r w:rsidRPr="00C27A36" w:rsidR="00A63A69">
        <w:rPr>
          <w:rFonts w:eastAsia="Calibri"/>
          <w:szCs w:val="22"/>
          <w:lang w:val="es-CR"/>
        </w:rPr>
        <w:t xml:space="preserve"> como </w:t>
      </w:r>
      <w:r w:rsidRPr="00C27A36" w:rsidR="00481096">
        <w:rPr>
          <w:rFonts w:eastAsia="Calibri"/>
          <w:szCs w:val="22"/>
          <w:lang w:val="es-CR"/>
        </w:rPr>
        <w:t>Directora del Fondo de Garantía de Depósitos</w:t>
      </w:r>
      <w:r w:rsidRPr="00C27A36" w:rsidR="00A63A69">
        <w:rPr>
          <w:rFonts w:eastAsia="Calibri"/>
          <w:szCs w:val="22"/>
          <w:lang w:val="es-CR"/>
        </w:rPr>
        <w:t>,</w:t>
      </w:r>
      <w:r w:rsidRPr="00C27A36" w:rsidR="00481096">
        <w:rPr>
          <w:rFonts w:eastAsia="Calibri"/>
          <w:szCs w:val="22"/>
          <w:lang w:val="es-CR"/>
        </w:rPr>
        <w:t xml:space="preserve"> por lo que las entidades contribuyentes también p</w:t>
      </w:r>
      <w:r w:rsidRPr="00C27A36" w:rsidR="00A63A69">
        <w:rPr>
          <w:rFonts w:eastAsia="Calibri"/>
          <w:szCs w:val="22"/>
          <w:lang w:val="es-CR"/>
        </w:rPr>
        <w:t xml:space="preserve">ueden realizar sus consultas a su </w:t>
      </w:r>
      <w:r w:rsidRPr="00C27A36" w:rsidR="00481096">
        <w:rPr>
          <w:rFonts w:eastAsia="Calibri"/>
          <w:szCs w:val="22"/>
          <w:lang w:val="es-CR"/>
        </w:rPr>
        <w:t xml:space="preserve">correo electrónico </w:t>
      </w:r>
      <w:hyperlink w:history="1" r:id="rId14">
        <w:r w:rsidRPr="00C27A36" w:rsidR="00481096">
          <w:rPr>
            <w:rFonts w:eastAsia="Calibri"/>
            <w:color w:val="0563C1"/>
            <w:szCs w:val="22"/>
            <w:u w:val="single"/>
            <w:lang w:val="es-CR"/>
          </w:rPr>
          <w:t>moraza@bccr.fi.cr</w:t>
        </w:r>
      </w:hyperlink>
    </w:p>
    <w:p w:rsidRPr="00C27A36" w:rsidR="00481096" w:rsidP="006972C9" w:rsidRDefault="00481096" w14:paraId="036069FE" w14:textId="77777777">
      <w:pPr>
        <w:pStyle w:val="Texto"/>
        <w:spacing w:before="0" w:after="0" w:line="240" w:lineRule="auto"/>
        <w:rPr>
          <w:szCs w:val="22"/>
        </w:rPr>
      </w:pPr>
    </w:p>
    <w:p w:rsidRPr="00C27A36" w:rsidR="006972C9" w:rsidP="006972C9" w:rsidRDefault="00481096" w14:paraId="4AD89C84" w14:textId="79F1521B">
      <w:pPr>
        <w:pStyle w:val="Texto"/>
        <w:spacing w:before="0" w:after="0" w:line="240" w:lineRule="auto"/>
        <w:rPr>
          <w:szCs w:val="22"/>
        </w:rPr>
      </w:pPr>
      <w:r w:rsidRPr="00C27A36">
        <w:rPr>
          <w:noProof/>
          <w:szCs w:val="22"/>
          <w:lang w:val="es-CR" w:eastAsia="es-CR"/>
        </w:rPr>
        <w:drawing>
          <wp:anchor distT="0" distB="0" distL="114300" distR="114300" simplePos="0" relativeHeight="251659264" behindDoc="1" locked="0" layoutInCell="1" allowOverlap="1" wp14:editId="3FD7DCEE" wp14:anchorId="315FCC41">
            <wp:simplePos x="0" y="0"/>
            <wp:positionH relativeFrom="column">
              <wp:posOffset>-163830</wp:posOffset>
            </wp:positionH>
            <wp:positionV relativeFrom="paragraph">
              <wp:posOffset>197485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C27A36" w:rsidR="006972C9">
        <w:rPr>
          <w:szCs w:val="22"/>
        </w:rPr>
        <w:t>Atentamente,</w:t>
      </w:r>
    </w:p>
    <w:p w:rsidRPr="00C27A36" w:rsidR="006972C9" w:rsidP="006972C9" w:rsidRDefault="006972C9" w14:paraId="72F9538F" w14:textId="0E0BE8DE">
      <w:pPr>
        <w:spacing w:line="240" w:lineRule="auto"/>
        <w:rPr>
          <w:szCs w:val="22"/>
        </w:rPr>
      </w:pPr>
    </w:p>
    <w:p w:rsidRPr="00C27A36" w:rsidR="00DB50AF" w:rsidP="006972C9" w:rsidRDefault="00DB50AF" w14:paraId="62078C75" w14:textId="6710C2F0">
      <w:pPr>
        <w:pStyle w:val="Negrita"/>
        <w:jc w:val="left"/>
        <w:rPr>
          <w:b w:val="0"/>
          <w:szCs w:val="22"/>
        </w:rPr>
      </w:pPr>
    </w:p>
    <w:p w:rsidR="00AF06C5" w:rsidP="00D93496" w:rsidRDefault="008B3362" w14:paraId="53605312" w14:textId="0FC768F4">
      <w:pPr>
        <w:jc w:val="left"/>
        <w:rPr>
          <w:szCs w:val="22"/>
        </w:rPr>
      </w:pPr>
      <w:r w:rsidRPr="00C27A36">
        <w:rPr>
          <w:szCs w:val="22"/>
        </w:rPr>
        <w:t>Rocío Aguilar Montoya</w:t>
      </w:r>
      <w:r w:rsidRPr="00C27A36">
        <w:rPr>
          <w:szCs w:val="22"/>
        </w:rPr>
        <w:br/>
      </w:r>
      <w:r w:rsidRPr="00C27A36">
        <w:rPr>
          <w:b/>
          <w:bCs/>
          <w:szCs w:val="22"/>
        </w:rPr>
        <w:t>Superintendente General</w:t>
      </w:r>
      <w:r w:rsidRPr="00C27A36" w:rsidR="006972C9">
        <w:rPr>
          <w:szCs w:val="22"/>
        </w:rPr>
        <w:tab/>
      </w:r>
    </w:p>
    <w:p w:rsidR="00C27A36" w:rsidP="00D93496" w:rsidRDefault="00C27A36" w14:paraId="49E921ED" w14:textId="77777777">
      <w:pPr>
        <w:jc w:val="left"/>
        <w:rPr>
          <w:szCs w:val="22"/>
        </w:rPr>
      </w:pPr>
    </w:p>
    <w:p w:rsidRPr="00C27A36" w:rsidR="00C27A36" w:rsidP="00D93496" w:rsidRDefault="00C27A36" w14:paraId="054CBBED" w14:textId="28BE8FD9">
      <w:pPr>
        <w:jc w:val="left"/>
        <w:rPr>
          <w:sz w:val="18"/>
          <w:szCs w:val="18"/>
        </w:rPr>
      </w:pPr>
      <w:r w:rsidRPr="00C27A36">
        <w:rPr>
          <w:sz w:val="18"/>
          <w:szCs w:val="18"/>
        </w:rPr>
        <w:t>MHA/MAC/pjp</w:t>
      </w:r>
    </w:p>
    <w:sectPr w:rsidRPr="00C27A36" w:rsidR="00C27A36">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915D6" w14:textId="77777777" w:rsidR="007D3524" w:rsidRDefault="007D3524" w:rsidP="009349F3">
      <w:pPr>
        <w:spacing w:line="240" w:lineRule="auto"/>
      </w:pPr>
      <w:r>
        <w:separator/>
      </w:r>
    </w:p>
  </w:endnote>
  <w:endnote w:type="continuationSeparator" w:id="0">
    <w:p w14:paraId="7452B0E0" w14:textId="77777777" w:rsidR="007D3524" w:rsidRDefault="007D3524"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060BE79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8FB4FC5" w14:textId="77777777">
      <w:tc>
        <w:tcPr>
          <w:tcW w:w="2942" w:type="dxa"/>
        </w:tcPr>
        <w:p w:rsidR="00517D62" w:rsidRDefault="00517D62" w14:paraId="0E297AB2"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6854BE80"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161D2B6A" w14:textId="77777777">
          <w:pPr>
            <w:pStyle w:val="Piedepgina"/>
            <w:rPr>
              <w:b/>
              <w:color w:val="7F7F7F" w:themeColor="text1" w:themeTint="80"/>
              <w:sz w:val="16"/>
              <w:szCs w:val="16"/>
            </w:rPr>
          </w:pPr>
        </w:p>
      </w:tc>
      <w:tc>
        <w:tcPr>
          <w:tcW w:w="2943" w:type="dxa"/>
        </w:tcPr>
        <w:p w:rsidRPr="009349F3" w:rsidR="00517D62" w:rsidP="00855792" w:rsidRDefault="00517D62" w14:paraId="78173F19"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EDC87C3"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D510A0C"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C27A36">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C2FF124"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4D05A5C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A87D0" w14:textId="77777777" w:rsidR="007D3524" w:rsidRDefault="007D3524" w:rsidP="009349F3">
      <w:pPr>
        <w:spacing w:line="240" w:lineRule="auto"/>
      </w:pPr>
      <w:r>
        <w:separator/>
      </w:r>
    </w:p>
  </w:footnote>
  <w:footnote w:type="continuationSeparator" w:id="0">
    <w:p w14:paraId="4C3D06BE" w14:textId="77777777" w:rsidR="007D3524" w:rsidRDefault="007D3524"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11EF04D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52640E1E" w14:textId="77777777">
    <w:pPr>
      <w:pStyle w:val="Encabezado"/>
    </w:pPr>
    <w:r>
      <w:ptab w:alignment="center" w:relativeTo="margin" w:leader="none"/>
    </w:r>
    <w:r>
      <w:rPr>
        <w:noProof/>
        <w:lang w:val="es-CR" w:eastAsia="es-CR"/>
      </w:rPr>
      <w:drawing>
        <wp:inline distT="0" distB="0" distL="0" distR="0" wp14:anchorId="7C5FDE27" wp14:editId="04DA697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06A2211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9B3"/>
    <w:multiLevelType w:val="hybridMultilevel"/>
    <w:tmpl w:val="6FBE5926"/>
    <w:lvl w:ilvl="0" w:tplc="60088920">
      <w:start w:val="1"/>
      <w:numFmt w:val="decimal"/>
      <w:lvlText w:val="%1."/>
      <w:lvlJc w:val="left"/>
      <w:pPr>
        <w:ind w:left="720" w:hanging="360"/>
      </w:pPr>
      <w:rPr>
        <w:rFonts w:hint="default"/>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F80EF1"/>
    <w:multiLevelType w:val="hybridMultilevel"/>
    <w:tmpl w:val="C72A2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473459E4"/>
    <w:multiLevelType w:val="hybridMultilevel"/>
    <w:tmpl w:val="BA2CD4F4"/>
    <w:lvl w:ilvl="0" w:tplc="20A6CE8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24"/>
    <w:rsid w:val="00043F58"/>
    <w:rsid w:val="00083721"/>
    <w:rsid w:val="00090941"/>
    <w:rsid w:val="001B0966"/>
    <w:rsid w:val="003558D0"/>
    <w:rsid w:val="003922DC"/>
    <w:rsid w:val="00481096"/>
    <w:rsid w:val="0051485F"/>
    <w:rsid w:val="00517D62"/>
    <w:rsid w:val="005545BC"/>
    <w:rsid w:val="00600D68"/>
    <w:rsid w:val="00683E8F"/>
    <w:rsid w:val="006972C9"/>
    <w:rsid w:val="006B26D7"/>
    <w:rsid w:val="007134E5"/>
    <w:rsid w:val="00743C20"/>
    <w:rsid w:val="007D3524"/>
    <w:rsid w:val="008200B7"/>
    <w:rsid w:val="00855792"/>
    <w:rsid w:val="008B14E2"/>
    <w:rsid w:val="008B3362"/>
    <w:rsid w:val="008F364F"/>
    <w:rsid w:val="00900B79"/>
    <w:rsid w:val="00912F10"/>
    <w:rsid w:val="009349F3"/>
    <w:rsid w:val="00974D26"/>
    <w:rsid w:val="00A63A69"/>
    <w:rsid w:val="00A7302C"/>
    <w:rsid w:val="00A96F2C"/>
    <w:rsid w:val="00AC2D90"/>
    <w:rsid w:val="00AF06C5"/>
    <w:rsid w:val="00B00D3C"/>
    <w:rsid w:val="00B7752A"/>
    <w:rsid w:val="00B93D4E"/>
    <w:rsid w:val="00C05F76"/>
    <w:rsid w:val="00C27A36"/>
    <w:rsid w:val="00D4240F"/>
    <w:rsid w:val="00D530BE"/>
    <w:rsid w:val="00D91B55"/>
    <w:rsid w:val="00D93496"/>
    <w:rsid w:val="00DB50AF"/>
    <w:rsid w:val="00DC2ED1"/>
    <w:rsid w:val="00DD402E"/>
    <w:rsid w:val="00DE2D06"/>
    <w:rsid w:val="00EB4A28"/>
    <w:rsid w:val="00F6318F"/>
    <w:rsid w:val="00F9054B"/>
    <w:rsid w:val="00FC4D49"/>
    <w:rsid w:val="00FD77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180F7"/>
  <w15:chartTrackingRefBased/>
  <w15:docId w15:val="{077B26A8-FC65-4711-8E97-EB42E6C1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 w:type="character" w:styleId="Refdecomentario">
    <w:name w:val="annotation reference"/>
    <w:basedOn w:val="Fuentedeprrafopredeter"/>
    <w:uiPriority w:val="99"/>
    <w:semiHidden/>
    <w:unhideWhenUsed/>
    <w:rsid w:val="00481096"/>
    <w:rPr>
      <w:sz w:val="16"/>
      <w:szCs w:val="16"/>
    </w:rPr>
  </w:style>
  <w:style w:type="paragraph" w:styleId="Textocomentario">
    <w:name w:val="annotation text"/>
    <w:basedOn w:val="Normal"/>
    <w:link w:val="TextocomentarioCar"/>
    <w:uiPriority w:val="99"/>
    <w:semiHidden/>
    <w:unhideWhenUsed/>
    <w:rsid w:val="00481096"/>
    <w:pPr>
      <w:spacing w:after="160" w:line="240" w:lineRule="auto"/>
      <w:jc w:val="left"/>
    </w:pPr>
    <w:rPr>
      <w:rFonts w:ascii="Calibri" w:eastAsia="Calibri" w:hAnsi="Calibri"/>
      <w:sz w:val="20"/>
      <w:szCs w:val="20"/>
      <w:lang w:val="es-CR"/>
    </w:rPr>
  </w:style>
  <w:style w:type="character" w:customStyle="1" w:styleId="TextocomentarioCar">
    <w:name w:val="Texto comentario Car"/>
    <w:basedOn w:val="Fuentedeprrafopredeter"/>
    <w:link w:val="Textocomentario"/>
    <w:uiPriority w:val="99"/>
    <w:semiHidden/>
    <w:rsid w:val="00481096"/>
    <w:rPr>
      <w:rFonts w:ascii="Calibri" w:eastAsia="Calibri" w:hAnsi="Calibri" w:cs="Times New Roman"/>
      <w:sz w:val="20"/>
      <w:szCs w:val="20"/>
    </w:rPr>
  </w:style>
  <w:style w:type="paragraph" w:styleId="Prrafodelista">
    <w:name w:val="List Paragraph"/>
    <w:basedOn w:val="Normal"/>
    <w:uiPriority w:val="34"/>
    <w:qFormat/>
    <w:rsid w:val="00743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s@bccr.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oraza@bccr.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DEBB3C2F424C8D92279D6AD19AEB5E"/>
        <w:category>
          <w:name w:val="General"/>
          <w:gallery w:val="placeholder"/>
        </w:category>
        <w:types>
          <w:type w:val="bbPlcHdr"/>
        </w:types>
        <w:behaviors>
          <w:behavior w:val="content"/>
        </w:behaviors>
        <w:guid w:val="{6DD902F8-601F-46B1-B06F-B3806588B5E9}"/>
      </w:docPartPr>
      <w:docPartBody>
        <w:p w:rsidR="00066A79" w:rsidRDefault="00066A79">
          <w:pPr>
            <w:pStyle w:val="55DEBB3C2F424C8D92279D6AD19AEB5E"/>
          </w:pPr>
          <w:r w:rsidRPr="001E0779">
            <w:rPr>
              <w:rStyle w:val="Textodelmarcadordeposicin"/>
            </w:rPr>
            <w:t>Haga clic aquí para escribir texto.</w:t>
          </w:r>
        </w:p>
      </w:docPartBody>
    </w:docPart>
    <w:docPart>
      <w:docPartPr>
        <w:name w:val="F10829CC98CE4F92AB1EE0E1ABD58D24"/>
        <w:category>
          <w:name w:val="General"/>
          <w:gallery w:val="placeholder"/>
        </w:category>
        <w:types>
          <w:type w:val="bbPlcHdr"/>
        </w:types>
        <w:behaviors>
          <w:behavior w:val="content"/>
        </w:behaviors>
        <w:guid w:val="{CF5277CB-6358-4A20-AD74-61A9CB621BF1}"/>
      </w:docPartPr>
      <w:docPartBody>
        <w:p w:rsidR="00066A79" w:rsidRDefault="00066A79">
          <w:pPr>
            <w:pStyle w:val="F10829CC98CE4F92AB1EE0E1ABD58D2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79"/>
    <w:rsid w:val="00066A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55DEBB3C2F424C8D92279D6AD19AEB5E">
    <w:name w:val="55DEBB3C2F424C8D92279D6AD19AEB5E"/>
  </w:style>
  <w:style w:type="paragraph" w:customStyle="1" w:styleId="F10829CC98CE4F92AB1EE0E1ABD58D24">
    <w:name w:val="F10829CC98CE4F92AB1EE0E1ABD58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0jhm934GmS8hO5Ur0a4GQJcarK85F+FAJb7WfOLe0j4=</DigestValue>
    </Reference>
    <Reference Type="http://www.w3.org/2000/09/xmldsig#Object" URI="#idOfficeObject">
      <DigestMethod Algorithm="http://www.w3.org/2001/04/xmlenc#sha256"/>
      <DigestValue>7wlkxx11UBscP2a9aIMaPgKCnjW1lv9ZdYHXDyHPAvA=</DigestValue>
    </Reference>
    <Reference Type="http://uri.etsi.org/01903#SignedProperties" URI="#idSignedProperties">
      <Transforms>
        <Transform Algorithm="http://www.w3.org/TR/2001/REC-xml-c14n-20010315"/>
      </Transforms>
      <DigestMethod Algorithm="http://www.w3.org/2001/04/xmlenc#sha256"/>
      <DigestValue>tSOiAr1DGRQjYcSzBANcKljA+tcvlYTk8aEhxvQCtnc=</DigestValue>
    </Reference>
  </SignedInfo>
  <SignatureValue>JrY7tczGnLHOV4RbNeXe9d/+BbeQL77WvPklH5kUwzICIdWQYBMXIRbaZCn0LwnQiAXDKeyHpaCU
zX3fAQ4o490itxiuxmNDiwGbdvvJ59xM0VM9mUrXdsbk/qENsgb5oKopFQpNlfjS//10F1bQwP2/
zUUeg3s4dfMoMnT9H8RU2Ajk/Ae89NVLojpmY4uY/fTyuwkZIVVp7UUXtYTfflgPjk99nyf2l52j
xNO/sNQys/HpRs+tLqqP9DPtzQ/3TnvzXz31LBYnxAqYz/avwyilT1CNOoVeZalWDPGqXLxVCIfS
eINm6AaY9Dsa1O89wEWCxRctBp61eTykPeIHuw==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DTbQtoB2oRvIXWjDM5gKznZmpTMFR2c30MANBjMnBZk=</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4EfZYxVI1ZQkF9rDoB+rDun0A13lM+DKOZ+UIX2eH3Q=</DigestValue>
      </Reference>
      <Reference URI="/word/endnotes.xml?ContentType=application/vnd.openxmlformats-officedocument.wordprocessingml.endnotes+xml">
        <DigestMethod Algorithm="http://www.w3.org/2001/04/xmlenc#sha256"/>
        <DigestValue>+QfwAYMqydgwTv5aHtRN1nlXwWo3IouzEz7Go6VGm8Q=</DigestValue>
      </Reference>
      <Reference URI="/word/fontTable.xml?ContentType=application/vnd.openxmlformats-officedocument.wordprocessingml.fontTable+xml">
        <DigestMethod Algorithm="http://www.w3.org/2001/04/xmlenc#sha256"/>
        <DigestValue>HzNI4iAlHJer91y99SPHA32YnZCzbSeRAPLYuphAsfM=</DigestValue>
      </Reference>
      <Reference URI="/word/footer1.xml?ContentType=application/vnd.openxmlformats-officedocument.wordprocessingml.footer+xml">
        <DigestMethod Algorithm="http://www.w3.org/2001/04/xmlenc#sha256"/>
        <DigestValue>G+TIQf/WbFTUtCRFiU3essSDQmq/tmaPKtcE3GsQUq8=</DigestValue>
      </Reference>
      <Reference URI="/word/footer2.xml?ContentType=application/vnd.openxmlformats-officedocument.wordprocessingml.footer+xml">
        <DigestMethod Algorithm="http://www.w3.org/2001/04/xmlenc#sha256"/>
        <DigestValue>wTOW7QRL3fNhJAabK7AQAl0c7zSPi5Eco7/BCYeEts4=</DigestValue>
      </Reference>
      <Reference URI="/word/footer3.xml?ContentType=application/vnd.openxmlformats-officedocument.wordprocessingml.footer+xml">
        <DigestMethod Algorithm="http://www.w3.org/2001/04/xmlenc#sha256"/>
        <DigestValue>UE5YpwC9VCFoiaEQH2Hm/jzFouQUEE49VGtm1uAguhs=</DigestValue>
      </Reference>
      <Reference URI="/word/footnotes.xml?ContentType=application/vnd.openxmlformats-officedocument.wordprocessingml.footnotes+xml">
        <DigestMethod Algorithm="http://www.w3.org/2001/04/xmlenc#sha256"/>
        <DigestValue>/lo1BCwJq3R3ueFQntzDTczsH6R2HVkWKNyawOnP8m0=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HpF+ZPYrDtWbcVAZlA6wr+42QwTH0lTh6+d5YFsq/V0=</DigestValue>
      </Reference>
      <Reference URI="/word/glossary/fontTable.xml?ContentType=application/vnd.openxmlformats-officedocument.wordprocessingml.fontTable+xml">
        <DigestMethod Algorithm="http://www.w3.org/2001/04/xmlenc#sha256"/>
        <DigestValue>HzNI4iAlHJer91y99SPHA32YnZCzbSeRAPLYuphAsfM=</DigestValue>
      </Reference>
      <Reference URI="/word/glossary/settings.xml?ContentType=application/vnd.openxmlformats-officedocument.wordprocessingml.settings+xml">
        <DigestMethod Algorithm="http://www.w3.org/2001/04/xmlenc#sha256"/>
        <DigestValue>j0knyJX6BqXaHxHCB30mZO0UYhSvw6TUNaOipdy0HcI=</DigestValue>
      </Reference>
      <Reference URI="/word/glossary/styles.xml?ContentType=application/vnd.openxmlformats-officedocument.wordprocessingml.styles+xml">
        <DigestMethod Algorithm="http://www.w3.org/2001/04/xmlenc#sha256"/>
        <DigestValue>WkQjnyexhSYSPgrHTxWwpt72GWEi5IdbaeM45K6uwvA=</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/XvKIN+nUYnz9r5zLMYKteHewLoWax5TIBTNHl9amfE=</DigestValue>
      </Reference>
      <Reference URI="/word/header2.xml?ContentType=application/vnd.openxmlformats-officedocument.wordprocessingml.header+xml">
        <DigestMethod Algorithm="http://www.w3.org/2001/04/xmlenc#sha256"/>
        <DigestValue>DuuCBVlu6WuUjLbQKf5AFrJMSIDmGep1RJ3JrqV/W/Y=</DigestValue>
      </Reference>
      <Reference URI="/word/header3.xml?ContentType=application/vnd.openxmlformats-officedocument.wordprocessingml.header+xml">
        <DigestMethod Algorithm="http://www.w3.org/2001/04/xmlenc#sha256"/>
        <DigestValue>PHug8rLTE7BszqEk70T9T2scokEFry0lp9CryUYbKw0=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I61sH8V7bsTtaLlclzlnRYjK0/0Z6J0WjOUSj15ggIE=</DigestValue>
      </Reference>
      <Reference URI="/word/settings.xml?ContentType=application/vnd.openxmlformats-officedocument.wordprocessingml.settings+xml">
        <DigestMethod Algorithm="http://www.w3.org/2001/04/xmlenc#sha256"/>
        <DigestValue>LtLycSX2yc0YQjwRM64ciKtDQXmsw43f7wgjvuB+WUI=</DigestValue>
      </Reference>
      <Reference URI="/word/styles.xml?ContentType=application/vnd.openxmlformats-officedocument.wordprocessingml.styles+xml">
        <DigestMethod Algorithm="http://www.w3.org/2001/04/xmlenc#sha256"/>
        <DigestValue>cKBOCMIJuWwt9DBWRsvlj/4ZG8lGv+Jg6MV5edB5bBU=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2021-06-22T17:29:41Z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2021-06-22T17:29:41Z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ESz6s+Qw1zwEuQc7eKD/4hD129oMZWll7tfaokYludYCBAwUmrIYDzIwMjEwNjIyMTcyOTU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gT+/JOAArucOvUM2VpFeoVJPyQ8=</xd:ByKey>
                  </xd:ResponderID>
                  <xd:ProducedAt>2021-06-22T17:29:39Z</xd:ProducedAt>
                </xd:OCSPIdentifier>
                <xd:DigestAlgAndValue>
                  <DigestMethod Algorithm="http://www.w3.org/2001/04/xmlenc#sha256"/>
                  <DigestValue>cc3e9HqMZPYVs6OV7pnUBvO+t0ECRPlM/fCic0GSCtY=</DigestValue>
                </xd:DigestAlgAndValue>
              </xd:OCSPRef>
            </xd:OCSPRefs>
            <xd:CRLRefs>
              <xd:CRLRef>
                <xd:DigestAlgAndValue>
                  <DigestMethod Algorithm="http://www.w3.org/2001/04/xmlenc#sha256"/>
                  <DigestValue>T185pySYQwduCtKQw7FOySCoA39tgiVCR2aMkDgwzQw=</DigestValue>
                </xd:DigestAlgAndValue>
                <xd:CRLIdentifier>
                  <xd:Issuer>CN=CA POLITICA PERSONA FISICA - COSTA RICA v2, OU=DCFD, O=MICITT, C=CR, SERIALNUMBER=CPJ-2-100-098311</xd:Issuer>
                  <xd:IssueTime>2021-05-13T16:03:04Z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</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UAVJ9i33e6UyhXxBQtcuSsNDpPMZOeD48m/gO8TnoCBAwUmrMYDzIwMjEwNjIyMTcyOTU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7" ma:contentTypeDescription="Crear nuevo documento." ma:contentTypeScope="" ma:versionID="9ccb4f9f214a65a0ef2a6c8194b1977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Circular externa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2021-06-21T06:00:00+00:00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para el cumplimiento efectivo del artículo 16 de la Ley 9816.</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AEF1755B-2EED-4462-8381-E4C8B6418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217D7-6EA8-4FAC-8755-A569B01D8000}">
  <ds:schemaRefs>
    <ds:schemaRef ds:uri="http://schemas.microsoft.com/sharepoint/v3/contenttype/forms"/>
  </ds:schemaRefs>
</ds:datastoreItem>
</file>

<file path=customXml/itemProps3.xml><?xml version="1.0" encoding="utf-8"?>
<ds:datastoreItem xmlns:ds="http://schemas.openxmlformats.org/officeDocument/2006/customXml" ds:itemID="{EF3B01CF-4A00-449D-961B-98B8B31A155F}">
  <ds:schemaRefs>
    <ds:schemaRef ds:uri="office.server.policy"/>
  </ds:schemaRefs>
</ds:datastoreItem>
</file>

<file path=customXml/itemProps4.xml><?xml version="1.0" encoding="utf-8"?>
<ds:datastoreItem xmlns:ds="http://schemas.openxmlformats.org/officeDocument/2006/customXml" ds:itemID="{38A7DD0D-2BC8-4EC8-96ED-EAE3D6455505}">
  <ds:schemaRefs>
    <ds:schemaRef ds:uri="http://schemas.microsoft.com/sharepoint/events"/>
  </ds:schemaRefs>
</ds:datastoreItem>
</file>

<file path=customXml/itemProps5.xml><?xml version="1.0" encoding="utf-8"?>
<ds:datastoreItem xmlns:ds="http://schemas.openxmlformats.org/officeDocument/2006/customXml" ds:itemID="{3C20FF79-F144-4426-9143-29134E26A2A9}">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sharepoint/v3"/>
    <ds:schemaRef ds:uri="http://purl.org/dc/dcmitype/"/>
    <ds:schemaRef ds:uri="http://purl.org/dc/terms/"/>
    <ds:schemaRef ds:uri="http://schemas.microsoft.com/office/infopath/2007/PartnerControls"/>
    <ds:schemaRef ds:uri="b875e23b-67d9-4b2e-bdec-edacbf90b326"/>
  </ds:schemaRefs>
</ds:datastoreItem>
</file>

<file path=customXml/itemProps6.xml><?xml version="1.0" encoding="utf-8"?>
<ds:datastoreItem xmlns:ds="http://schemas.openxmlformats.org/officeDocument/2006/customXml" ds:itemID="{0055D22C-273F-4852-BF0D-FA433FC378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plantillas-SGF-13</Template>
  <TotalTime>325</TotalTime>
  <Pages>3</Pages>
  <Words>1139</Words>
  <Characters>6269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JOVEL PINEDA PATRICIA DE LOS ANGE</cp:lastModifiedBy>
  <cp:revision>15</cp:revision>
  <dcterms:created xsi:type="dcterms:W3CDTF">2021-06-18T21:18:00Z</dcterms:created>
  <dcterms:modified xsi:type="dcterms:W3CDTF">2021-06-22T14:41:00Z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1" name="Order">
    <vt:r8>175100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dc9be4ca-c6c9-41a3-8f1b-604965ed1693,5;7dedacbb-5c77-4a35-8847-40abd1245d4d,7;</vt:lpwstr>
  </property>
</Properties>
</file>